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第二次购买关节镜动力系统</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5</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09"/>
      <w:bookmarkStart w:id="3" w:name="_Toc40264129"/>
      <w:bookmarkStart w:id="4" w:name="_Toc40264064"/>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第一章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第二章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第三章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第四章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第五章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10"/>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本比选项目为攀枝花市第二人民医院第二次关节镜动力系统采购，比选人为攀枝花市第二人民医院。项目已具备比选条件，兹邀请符合本次比选要求的潜在申请人参与。</w:t>
      </w:r>
    </w:p>
    <w:p w14:paraId="07A09E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1、项目名称：攀枝花市第二人民医院第二次关节镜动力系统采购。</w:t>
      </w:r>
    </w:p>
    <w:p w14:paraId="55104E5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2、项目内容：需提供关节镜动力系统1台。</w:t>
      </w:r>
    </w:p>
    <w:p w14:paraId="6418B13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5、项目预算：限价230000元（</w:t>
      </w:r>
      <w:r>
        <w:rPr>
          <w:rFonts w:hint="default" w:ascii="宋体" w:hAnsi="宋体" w:eastAsia="宋体" w:cs="Times New Roman"/>
          <w:kern w:val="2"/>
          <w:sz w:val="24"/>
          <w:szCs w:val="24"/>
          <w:highlight w:val="none"/>
          <w:lang w:val="en-US" w:eastAsia="zh-CN" w:bidi="ar-SA"/>
        </w:rPr>
        <w:t>贰拾</w:t>
      </w:r>
      <w:r>
        <w:rPr>
          <w:rFonts w:hint="eastAsia" w:ascii="宋体" w:hAnsi="宋体" w:eastAsia="宋体" w:cs="Times New Roman"/>
          <w:kern w:val="2"/>
          <w:sz w:val="24"/>
          <w:szCs w:val="24"/>
          <w:highlight w:val="none"/>
          <w:lang w:val="en-US" w:eastAsia="zh-CN" w:bidi="ar-SA"/>
        </w:rPr>
        <w:t>叁</w:t>
      </w:r>
      <w:r>
        <w:rPr>
          <w:rFonts w:hint="default" w:ascii="宋体" w:hAnsi="宋体" w:eastAsia="宋体" w:cs="Times New Roman"/>
          <w:kern w:val="2"/>
          <w:sz w:val="24"/>
          <w:szCs w:val="24"/>
          <w:highlight w:val="none"/>
          <w:lang w:val="en-US" w:eastAsia="zh-CN" w:bidi="ar-SA"/>
        </w:rPr>
        <w:t>万</w:t>
      </w:r>
      <w:r>
        <w:rPr>
          <w:rFonts w:hint="eastAsia" w:ascii="宋体" w:hAnsi="宋体" w:eastAsia="宋体" w:cs="Times New Roman"/>
          <w:kern w:val="2"/>
          <w:sz w:val="24"/>
          <w:szCs w:val="24"/>
          <w:highlight w:val="none"/>
          <w:lang w:val="en-US" w:eastAsia="zh-CN" w:bidi="ar-SA"/>
        </w:rPr>
        <w:t>元整）。</w:t>
      </w:r>
      <w:bookmarkStart w:id="73" w:name="_GoBack"/>
      <w:bookmarkEnd w:id="73"/>
    </w:p>
    <w:p w14:paraId="701C9AA7">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2"/>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2"/>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（1）递交比选申请文件的截止时间：2026年5月28日17:00（北京时间），地点为攀枝花市第二人民医院采购科。</w:t>
      </w:r>
    </w:p>
    <w:p w14:paraId="4DBE9CC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攀枝花市第二人民医院购买关节镜动力系统</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eastAsia="宋体" w:cs="Times New Roman"/>
                <w:kern w:val="2"/>
                <w:sz w:val="24"/>
                <w:szCs w:val="24"/>
                <w:highlight w:val="none"/>
                <w:lang w:val="en-US" w:eastAsia="zh-CN" w:bidi="ar-SA"/>
              </w:rPr>
              <w:t>230000.00（</w:t>
            </w:r>
            <w:r>
              <w:rPr>
                <w:rFonts w:hint="default" w:ascii="宋体" w:hAnsi="宋体" w:eastAsia="宋体" w:cs="Times New Roman"/>
                <w:kern w:val="2"/>
                <w:sz w:val="24"/>
                <w:szCs w:val="24"/>
                <w:highlight w:val="none"/>
                <w:lang w:val="en-US" w:eastAsia="zh-CN" w:bidi="ar-SA"/>
              </w:rPr>
              <w:t>贰拾</w:t>
            </w:r>
            <w:r>
              <w:rPr>
                <w:rFonts w:hint="eastAsia" w:ascii="宋体" w:hAnsi="宋体" w:eastAsia="宋体" w:cs="Times New Roman"/>
                <w:kern w:val="2"/>
                <w:sz w:val="24"/>
                <w:szCs w:val="24"/>
                <w:highlight w:val="none"/>
                <w:lang w:val="en-US" w:eastAsia="zh-CN" w:bidi="ar-SA"/>
              </w:rPr>
              <w:t>叁</w:t>
            </w:r>
            <w:r>
              <w:rPr>
                <w:rFonts w:hint="default" w:ascii="宋体" w:hAnsi="宋体" w:eastAsia="宋体" w:cs="Times New Roman"/>
                <w:kern w:val="2"/>
                <w:sz w:val="24"/>
                <w:szCs w:val="24"/>
                <w:highlight w:val="none"/>
                <w:lang w:val="en-US" w:eastAsia="zh-CN" w:bidi="ar-SA"/>
              </w:rPr>
              <w:t>万</w:t>
            </w:r>
            <w:r>
              <w:rPr>
                <w:rFonts w:hint="eastAsia" w:ascii="宋体" w:hAnsi="宋体" w:eastAsia="宋体" w:cs="Times New Roman"/>
                <w:kern w:val="2"/>
                <w:sz w:val="24"/>
                <w:szCs w:val="24"/>
                <w:highlight w:val="none"/>
                <w:lang w:val="en-US" w:eastAsia="zh-CN" w:bidi="ar-SA"/>
              </w:rPr>
              <w:t>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217446065"/>
      <w:bookmarkStart w:id="12" w:name="_Toc308164811"/>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114649553"/>
      <w:bookmarkStart w:id="14" w:name="_Toc482600289"/>
      <w:bookmarkStart w:id="15" w:name="_Toc150831011"/>
      <w:bookmarkStart w:id="16" w:name="_Toc146532506"/>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476736016"/>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321598257"/>
      <w:bookmarkStart w:id="26" w:name="_Toc217446083"/>
      <w:bookmarkStart w:id="27" w:name="_Toc280877425"/>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4"/>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76736023"/>
      <w:bookmarkStart w:id="30" w:name="_Toc482600294"/>
      <w:r>
        <w:rPr>
          <w:rFonts w:hint="eastAsia"/>
          <w:b/>
          <w:sz w:val="28"/>
          <w:highlight w:val="none"/>
        </w:rPr>
        <w:t>格式五、比选申请人基本情况表</w:t>
      </w:r>
      <w:bookmarkEnd w:id="29"/>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7"/>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7"/>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7"/>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7"/>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7"/>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7"/>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7"/>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7"/>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7"/>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7"/>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7"/>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7"/>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7"/>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7"/>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7"/>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7"/>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7"/>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7"/>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7"/>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7"/>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7"/>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7"/>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7"/>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7"/>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7"/>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7"/>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7"/>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53578491"/>
      <w:bookmarkStart w:id="32" w:name="_Toc476736025"/>
      <w:bookmarkStart w:id="33" w:name="_Toc325028474"/>
      <w:bookmarkStart w:id="34" w:name="_Toc48260029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4"/>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4"/>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53578493"/>
      <w:bookmarkStart w:id="45" w:name="_Toc476736029"/>
      <w:bookmarkStart w:id="46" w:name="_Toc482600306"/>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482600307"/>
      <w:bookmarkStart w:id="48" w:name="_Toc114649554"/>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14266430"/>
      <w:bookmarkStart w:id="50" w:name="_Toc414614596"/>
      <w:bookmarkStart w:id="51" w:name="_Toc269717613"/>
      <w:bookmarkStart w:id="52" w:name="_Toc414266276"/>
      <w:bookmarkStart w:id="53" w:name="_Toc13620"/>
      <w:bookmarkStart w:id="54" w:name="_Toc421277692"/>
      <w:bookmarkStart w:id="55" w:name="_Toc427148986"/>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攀枝花市第二人民医院购买关节镜动力系统</w:t>
      </w:r>
      <w:r>
        <w:rPr>
          <w:rFonts w:hint="eastAsia" w:ascii="宋体" w:hAnsi="宋体"/>
          <w:sz w:val="24"/>
          <w:highlight w:val="none"/>
          <w:lang w:eastAsia="zh-CN"/>
        </w:rPr>
        <w:t>：</w:t>
      </w:r>
    </w:p>
    <w:tbl>
      <w:tblPr>
        <w:tblStyle w:val="14"/>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关节镜动力系统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23</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0ECB098E">
      <w:pPr>
        <w:jc w:val="center"/>
        <w:rPr>
          <w:rFonts w:hint="eastAsia" w:ascii="仿宋" w:hAnsi="仿宋" w:eastAsia="仿宋" w:cs="仿宋"/>
          <w:sz w:val="28"/>
          <w:szCs w:val="28"/>
        </w:rPr>
      </w:pPr>
      <w:bookmarkStart w:id="57" w:name="_Toc81915897"/>
      <w:r>
        <w:rPr>
          <w:rFonts w:hint="eastAsia" w:ascii="仿宋" w:hAnsi="仿宋" w:eastAsia="仿宋" w:cs="微软雅黑"/>
          <w:b/>
          <w:bCs/>
          <w:sz w:val="32"/>
          <w:szCs w:val="32"/>
        </w:rPr>
        <w:t>技术参数</w:t>
      </w:r>
      <w:r>
        <w:rPr>
          <w:rFonts w:hint="eastAsia" w:ascii="仿宋" w:hAnsi="仿宋" w:eastAsia="仿宋" w:cs="仿宋"/>
          <w:color w:val="000000"/>
          <w:kern w:val="0"/>
          <w:sz w:val="28"/>
          <w:szCs w:val="28"/>
          <w:lang w:val="en-US" w:eastAsia="zh-CN" w:bidi="ar"/>
        </w:rPr>
        <w:t xml:space="preserve"> </w:t>
      </w:r>
    </w:p>
    <w:p w14:paraId="72A83E94">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一、技术参数要求：</w:t>
      </w:r>
      <w:r>
        <w:rPr>
          <w:rFonts w:hint="eastAsia" w:ascii="仿宋" w:hAnsi="仿宋" w:eastAsia="仿宋" w:cs="仿宋"/>
          <w:color w:val="000000"/>
          <w:kern w:val="0"/>
          <w:sz w:val="28"/>
          <w:szCs w:val="28"/>
          <w:lang w:val="en-US" w:eastAsia="zh-CN" w:bidi="ar"/>
        </w:rPr>
        <w:t xml:space="preserve"> </w:t>
      </w:r>
    </w:p>
    <w:p w14:paraId="4DCA80EC">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1.具备LCD 触摸显示屏，动态显示设备状态和运行参数；</w:t>
      </w:r>
    </w:p>
    <w:p w14:paraId="47A5A81A">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2.双手柄接口，可连接刨削手柄或骨钻；</w:t>
      </w:r>
    </w:p>
    <w:p w14:paraId="568F6450">
      <w:pPr>
        <w:keepNext w:val="0"/>
        <w:keepLines w:val="0"/>
        <w:widowControl/>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▲3.能提供刨削扭力≥32 OZ-in，最大速度≥10000rpm，双刨削手柄接口，实现双手柄双模式，可以两个刨削手柄同时运行。（提供产品彩页或说明书或原厂技术白皮书或国家认可的第三方合法检测机构出具的检测报告）。</w:t>
      </w:r>
    </w:p>
    <w:p w14:paraId="2EBE611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4.具有刨刀头识别功能和转速记忆功能，根据刀头型号自动设置工作范围，有效防止误操作并缩短手术时间；</w:t>
      </w:r>
    </w:p>
    <w:p w14:paraId="2B3D96F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5.能够适配同品牌或兼容的各种关节需要的刨刀头，针对不同手术需求，设计不同的切割窗口；同时也可适配兼容3种以上不同品牌的刨削刀头和磨头。</w:t>
      </w:r>
    </w:p>
    <w:p w14:paraId="388A8AC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▲6.独立主机设计，非集成；动力系统具备窗锁功能，刨刀可以停留在预想位置；（提供产品彩页或说明书或原厂技术白皮书或国家认可的第三方合法检测机构出具的检测报告）。</w:t>
      </w:r>
    </w:p>
    <w:p w14:paraId="2BDAF055">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7.支持适配多种手柄系列，包括脚控手柄、手控手柄；可以高温高压消毒。</w:t>
      </w:r>
    </w:p>
    <w:p w14:paraId="1A045B8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8.有故障自诊断功能，能根据故障情况给出对应代码。</w:t>
      </w:r>
    </w:p>
    <w:p w14:paraId="7603934D">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▲9. 刨削手柄长度≤18cm,重量≤230g，防滑设计，无偏心摆动；可高温灭菌，兼容主流直径的刨削刀头。（提供产品彩页或说明书或原厂技术白皮书或国家认可的第三方合法检测机构出具的检测报告）。</w:t>
      </w:r>
    </w:p>
    <w:p w14:paraId="58DC627F">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▲10.设备正转、反转和往复转（摆动模式）下可以以100 rpm的增量进行设定，提高手术的精准性。（提供产品彩页或说明书或原厂技术白皮书或国家认可的第三方合法检测机构出具的检测报告）。</w:t>
      </w:r>
    </w:p>
    <w:p w14:paraId="3960F31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▲11.设备使用期限≥15年。（提供产品说明书或原厂铭牌标签）。</w:t>
      </w:r>
    </w:p>
    <w:p w14:paraId="23A939E5">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12. 往复转模式（摆动模式）可设置转动周期或摆动速率，转动周期范围为0.3s~1.0s，摆动速率</w:t>
      </w:r>
    </w:p>
    <w:p w14:paraId="0F4436F7">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≥8档。</w:t>
      </w:r>
    </w:p>
    <w:p w14:paraId="020F47D8">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13.动力手柄对刀具的轴向施加拉力≥30N，承受标称力矩≥1.5倍，且不滑脱或永久变形。</w:t>
      </w:r>
    </w:p>
    <w:p w14:paraId="51E73C19">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14.动力手柄径向圆跳动≤0.1mm，轴向移动≤0.5mm。</w:t>
      </w:r>
    </w:p>
    <w:p w14:paraId="48D613BA">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15. 动力手柄表面温度在额定的工作条件下，可触及的外壳表面温度≤20℃。</w:t>
      </w:r>
    </w:p>
    <w:p w14:paraId="7CA5F9CA">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二、配置要求 </w:t>
      </w:r>
    </w:p>
    <w:p w14:paraId="2DF07115">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▲动力系统主机1台</w:t>
      </w:r>
    </w:p>
    <w:p w14:paraId="027DA2D9">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▲动力系统脚踏1个</w:t>
      </w:r>
    </w:p>
    <w:p w14:paraId="182762F3">
      <w:pPr>
        <w:keepNext w:val="0"/>
        <w:keepLines w:val="0"/>
        <w:widowControl/>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▲动力手柄1个</w:t>
      </w:r>
    </w:p>
    <w:p w14:paraId="1CA24C17">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三、质保要求</w:t>
      </w:r>
    </w:p>
    <w:p w14:paraId="03E04D78">
      <w:pPr>
        <w:keepNext w:val="0"/>
        <w:keepLines w:val="0"/>
        <w:widowControl/>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▲质保期</w:t>
      </w:r>
      <w:r>
        <w:rPr>
          <w:rFonts w:hint="default"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8"/>
          <w:szCs w:val="28"/>
          <w:lang w:val="en-US" w:eastAsia="zh-CN" w:bidi="ar"/>
        </w:rPr>
        <w:t>3年</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4"/>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0D5D39A4">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一、技术参数要求：</w:t>
            </w:r>
            <w:r>
              <w:rPr>
                <w:rFonts w:hint="eastAsia" w:ascii="仿宋" w:hAnsi="仿宋" w:eastAsia="仿宋" w:cs="仿宋"/>
                <w:color w:val="000000"/>
                <w:kern w:val="0"/>
                <w:sz w:val="28"/>
                <w:szCs w:val="28"/>
                <w:lang w:val="en-US" w:eastAsia="zh-CN" w:bidi="ar"/>
              </w:rPr>
              <w:t xml:space="preserve"> </w:t>
            </w:r>
          </w:p>
          <w:p w14:paraId="321AFDF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1.具备LCD 触摸显示屏，动态显示设备状态和运行参数；</w:t>
            </w:r>
          </w:p>
          <w:p w14:paraId="75390BF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2.双手柄接口，可连接刨削手柄或骨钻；</w:t>
            </w:r>
          </w:p>
          <w:p w14:paraId="576D2EE6">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▲3.能提供刨削扭力≥32 OZ-in，最大速度≥10000rpm，双刨削手柄接口，实现双手柄双模式，可以两个刨削手柄同时运行。（提供产品彩页或说明书或原厂技术白皮书或国家认可的第三方合法检测机构出具的检测报告）。</w:t>
            </w:r>
          </w:p>
          <w:p w14:paraId="545518D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4.具有刨刀头识别功能和转速记忆功能，根据刀头型号自动设置工作范围，有效防止误操作并缩短手术时间；</w:t>
            </w:r>
          </w:p>
          <w:p w14:paraId="4DEB5A4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5.能够适配同品牌或兼容的各种关节需要的刨刀头，针对不同手术需求，设计不同的切割窗口；同时也可适配兼容3种以上不同品牌的刨削刀头和磨头。</w:t>
            </w:r>
          </w:p>
          <w:p w14:paraId="20A27B1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▲6.独立主机设计，非集成；动力系统具备窗锁功能，刨刀可以停留在预想位置；（提供产品彩页或说明书或原厂技术白皮书或国家认可的第三方合法检测机构出具的检测报告）。</w:t>
            </w:r>
          </w:p>
          <w:p w14:paraId="3FE05FC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7.支持适配多种手柄系列，包括脚控手柄、手控手柄；可以高温高压消毒。</w:t>
            </w:r>
          </w:p>
          <w:p w14:paraId="46DA520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8.有故障自诊断功能，能根据故障情况给出对应代码。</w:t>
            </w:r>
          </w:p>
          <w:p w14:paraId="308F3DFE">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▲9. 刨削手柄长度≤18cm,重量≤230g，防滑设计，无偏心摆动；可高温灭菌，兼容主流直径的刨削刀头。（提供产品彩页或说明书或原厂技术白皮书或国家认可的第三方合法检测机构出具的检测报告）。</w:t>
            </w:r>
          </w:p>
          <w:p w14:paraId="4F9A78F7">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▲10.设备正转、反转和往复转（摆动模式）下可以以100 rpm的增量进行设定，提高手术的精准性。（提供产品彩页或说明书或原厂技术白皮书或国家认可的第三方合法检测机构出具的检测报告）。</w:t>
            </w:r>
          </w:p>
          <w:p w14:paraId="6BFA0C13">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▲11.设备使用期限≥15年。（提供产品说明书或原厂铭牌标签）。</w:t>
            </w:r>
          </w:p>
          <w:p w14:paraId="375C6A6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 往复转模式（摆动模式）可设置转动周期或摆动速率，转动周期范围为0.3s~1.0s，摆动速率</w:t>
            </w:r>
          </w:p>
          <w:p w14:paraId="7AA8105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≥8档。</w:t>
            </w:r>
          </w:p>
          <w:p w14:paraId="49E73F4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13.动力手柄对刀具的轴向施加拉力≥30N，承受标称力矩≥1.5倍，且不滑脱或永久变形。</w:t>
            </w:r>
          </w:p>
          <w:p w14:paraId="5E837FA6">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14.动力手柄径向圆跳动≤0.1mm，轴向移动≤0.5mm。</w:t>
            </w:r>
          </w:p>
          <w:p w14:paraId="2C7B2A8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 动力手柄表面温度在额定的工作条件下，可触及的外壳表面温度≤20℃。</w:t>
            </w:r>
          </w:p>
          <w:p w14:paraId="46CE0B76">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二、配置要求 </w:t>
            </w:r>
          </w:p>
          <w:p w14:paraId="37A901A7">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▲动力系统主机1台</w:t>
            </w:r>
          </w:p>
          <w:p w14:paraId="12ECD72E">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▲动力系统脚踏1个</w:t>
            </w:r>
          </w:p>
          <w:p w14:paraId="4CF7BE6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▲动力手柄1个</w:t>
            </w:r>
          </w:p>
          <w:p w14:paraId="0DAC5C6E">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三、质保要求</w:t>
            </w:r>
          </w:p>
          <w:p w14:paraId="00F6482A">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▲质保期</w:t>
            </w:r>
            <w:r>
              <w:rPr>
                <w:rFonts w:hint="default" w:ascii="仿宋" w:hAnsi="仿宋" w:eastAsia="仿宋" w:cs="仿宋"/>
                <w:b/>
                <w:bCs/>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3年</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217446105"/>
      <w:bookmarkStart w:id="67" w:name="_Toc183582297"/>
      <w:bookmarkStart w:id="68" w:name="_Toc183682432"/>
      <w:bookmarkStart w:id="69" w:name="_Toc208849022"/>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8"/>
      <w:jc w:val="center"/>
      <w:rPr>
        <w:rFonts w:ascii="宋体" w:hAnsi="宋体" w:cs="Andalus"/>
        <w:sz w:val="24"/>
      </w:rPr>
    </w:pPr>
    <w:r>
      <w:rPr>
        <w:rFonts w:ascii="宋体" w:hAnsi="宋体" w:cs="Andalus"/>
        <w:sz w:val="24"/>
      </w:rPr>
      <w:fldChar w:fldCharType="begin"/>
    </w:r>
    <w:r>
      <w:rPr>
        <w:rStyle w:val="18"/>
        <w:rFonts w:ascii="宋体" w:hAnsi="宋体" w:cs="Andalus"/>
        <w:sz w:val="24"/>
      </w:rPr>
      <w:instrText xml:space="preserve"> PAGE </w:instrText>
    </w:r>
    <w:r>
      <w:rPr>
        <w:rFonts w:ascii="宋体" w:hAnsi="宋体" w:cs="Andalus"/>
        <w:sz w:val="24"/>
      </w:rPr>
      <w:fldChar w:fldCharType="separate"/>
    </w:r>
    <w:r>
      <w:rPr>
        <w:rStyle w:val="18"/>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5DB3FC5"/>
    <w:rsid w:val="0B4F06AD"/>
    <w:rsid w:val="0E190728"/>
    <w:rsid w:val="11701B47"/>
    <w:rsid w:val="16731DD4"/>
    <w:rsid w:val="1A1A2980"/>
    <w:rsid w:val="21E13A8B"/>
    <w:rsid w:val="29A46BAC"/>
    <w:rsid w:val="2DC33E16"/>
    <w:rsid w:val="34727824"/>
    <w:rsid w:val="3F925215"/>
    <w:rsid w:val="4012790D"/>
    <w:rsid w:val="463757AB"/>
    <w:rsid w:val="46F5448E"/>
    <w:rsid w:val="48876513"/>
    <w:rsid w:val="59055A08"/>
    <w:rsid w:val="59FA62BF"/>
    <w:rsid w:val="62DA6BA7"/>
    <w:rsid w:val="62E418BB"/>
    <w:rsid w:val="652F2B95"/>
    <w:rsid w:val="65B75994"/>
    <w:rsid w:val="68C55CEA"/>
    <w:rsid w:val="74E05E61"/>
    <w:rsid w:val="757077E9"/>
    <w:rsid w:val="77EE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200" w:firstLineChars="200"/>
      <w:textAlignment w:val="baseline"/>
    </w:pPr>
    <w:rPr>
      <w:rFonts w:ascii="Calibri" w:hAnsi="Calibri"/>
    </w:r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b/>
      <w:bCs/>
      <w:caps/>
      <w:sz w:val="20"/>
      <w:szCs w:val="20"/>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6"/>
    <w:unhideWhenUsed/>
    <w:qFormat/>
    <w:uiPriority w:val="99"/>
    <w:pPr>
      <w:spacing w:after="120"/>
      <w:ind w:left="420" w:leftChars="200" w:firstLine="420" w:firstLineChars="200"/>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337AB7"/>
      <w:u w:val="none"/>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671</Words>
  <Characters>682</Characters>
  <Lines>0</Lines>
  <Paragraphs>0</Paragraphs>
  <TotalTime>29</TotalTime>
  <ScaleCrop>false</ScaleCrop>
  <LinksUpToDate>false</LinksUpToDate>
  <CharactersWithSpaces>705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2026-05-21T02:05:06Z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7879D5FE4A4646B5B578C3A8CAA81458_13</vt:lpwstr>
  </property>
  <property fmtid="{D5CDD505-2E9C-101B-9397-08002B2CF9AE}" pid="4" name="KSOTemplateDocerSaveRecord">
    <vt:lpwstr>eyJoZGlkIjoiOWVhMjk5M2UyMzlkMThiNDE2M2UyYTU5MTFjODA2NWIiLCJ1c2VySWQiOiI4ODI0MTY1ODIifQ==</vt:lpwstr>
  </property>
</Properties>
</file>