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4"/>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4"/>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购买TCI注射泵</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5"/>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5"/>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5</w:t>
      </w:r>
      <w:r>
        <w:rPr>
          <w:rFonts w:hint="eastAsia" w:ascii="宋体" w:hAnsi="宋体"/>
          <w:b/>
          <w:sz w:val="32"/>
          <w:szCs w:val="32"/>
          <w:highlight w:val="none"/>
        </w:rPr>
        <w:t>年</w:t>
      </w:r>
      <w:r>
        <w:rPr>
          <w:rFonts w:hint="eastAsia" w:ascii="宋体" w:hAnsi="宋体"/>
          <w:b/>
          <w:sz w:val="32"/>
          <w:szCs w:val="32"/>
          <w:highlight w:val="none"/>
          <w:lang w:val="en-US" w:eastAsia="zh-CN"/>
        </w:rPr>
        <w:t>10</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5"/>
        <w:tabs>
          <w:tab w:val="left" w:pos="1500"/>
        </w:tabs>
        <w:rPr>
          <w:rFonts w:hint="eastAsia"/>
          <w:highlight w:val="none"/>
        </w:rPr>
      </w:pPr>
    </w:p>
    <w:p w14:paraId="217B7ED2">
      <w:pPr>
        <w:pStyle w:val="5"/>
        <w:tabs>
          <w:tab w:val="left" w:pos="1500"/>
        </w:tabs>
        <w:rPr>
          <w:rFonts w:hint="eastAsia"/>
          <w:highlight w:val="none"/>
        </w:rPr>
      </w:pPr>
    </w:p>
    <w:p w14:paraId="30FD17C4">
      <w:pPr>
        <w:rPr>
          <w:rFonts w:hint="eastAsia"/>
          <w:highlight w:val="none"/>
        </w:rPr>
      </w:pPr>
    </w:p>
    <w:p w14:paraId="777B3AAF">
      <w:pPr>
        <w:pStyle w:val="18"/>
        <w:ind w:firstLine="643"/>
        <w:jc w:val="center"/>
        <w:rPr>
          <w:rFonts w:hint="eastAsia"/>
          <w:b/>
          <w:sz w:val="32"/>
          <w:szCs w:val="32"/>
          <w:highlight w:val="none"/>
        </w:rPr>
      </w:pPr>
      <w:bookmarkStart w:id="2" w:name="_Toc40264129"/>
      <w:bookmarkStart w:id="3" w:name="_Toc40264064"/>
      <w:bookmarkStart w:id="4" w:name="_Toc40264109"/>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第一章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第二章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第三章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第四章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第五章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9"/>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2"/>
        <w:tabs>
          <w:tab w:val="left" w:pos="432"/>
        </w:tabs>
        <w:rPr>
          <w:szCs w:val="32"/>
          <w:highlight w:val="none"/>
        </w:rPr>
      </w:pPr>
      <w:r>
        <w:rPr>
          <w:highlight w:val="none"/>
        </w:rPr>
        <w:br w:type="page"/>
      </w:r>
      <w:bookmarkStart w:id="5" w:name="_Toc25893"/>
      <w:bookmarkStart w:id="6" w:name="_Toc372813218"/>
      <w:bookmarkStart w:id="7" w:name="_Toc114649551"/>
      <w:bookmarkStart w:id="8" w:name="_Toc482600287"/>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本比选项目为攀枝花市第二人民医院注射工作站、TCI注射泵采购，比选人为攀枝花市第二人民医院。项目已具备比选条件，兹邀请符合本次比选要求的潜在申请人参与。</w:t>
      </w:r>
    </w:p>
    <w:p w14:paraId="07A09E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1、项目名称：攀枝花市第二人民医院注射工作站、TCI注射泵采购。</w:t>
      </w:r>
    </w:p>
    <w:p w14:paraId="55104E5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2、项目内容：需提供注射工作站、TCI注射泵一套。</w:t>
      </w:r>
    </w:p>
    <w:p w14:paraId="6418B13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39EA6C04">
      <w:pPr>
        <w:pStyle w:val="11"/>
        <w:keepNext w:val="0"/>
        <w:keepLines w:val="0"/>
        <w:widowControl/>
        <w:suppressLineNumbers w:val="0"/>
        <w:shd w:val="clear" w:fill="FFFFFF"/>
        <w:spacing w:before="0" w:beforeAutospacing="0" w:line="420" w:lineRule="atLeast"/>
        <w:ind w:left="718" w:leftChars="342" w:firstLine="0" w:firstLineChars="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5、项目预算：TCI注射泵限价12000（壹万贰仟元整）、注射工作站限价38000（叁万捌仟元整）。</w:t>
      </w:r>
    </w:p>
    <w:p w14:paraId="578A68E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6、项目要求：需提供TCI注射泵一份标书、注射工作站一份标书（共两份标书）。</w:t>
      </w:r>
    </w:p>
    <w:p w14:paraId="701C9AA7">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1"/>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1"/>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（1）递交比选申请文件的截止时间：2025年10月27日17:00（北京时间），地点为攀枝花市第二人民医院采购科。</w:t>
      </w:r>
    </w:p>
    <w:p w14:paraId="4DBE9CC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5"/>
        <w:tabs>
          <w:tab w:val="left" w:pos="1500"/>
        </w:tabs>
        <w:rPr>
          <w:rFonts w:hint="eastAsia"/>
          <w:highlight w:val="none"/>
        </w:rPr>
      </w:pPr>
    </w:p>
    <w:p w14:paraId="709A2C1B">
      <w:pPr>
        <w:rPr>
          <w:rFonts w:hint="eastAsia" w:ascii="宋体" w:hAnsi="宋体"/>
          <w:sz w:val="24"/>
          <w:highlight w:val="none"/>
        </w:rPr>
      </w:pPr>
    </w:p>
    <w:p w14:paraId="1AC3CBCE">
      <w:pPr>
        <w:pStyle w:val="5"/>
        <w:tabs>
          <w:tab w:val="left" w:pos="1500"/>
        </w:tabs>
        <w:rPr>
          <w:rFonts w:hint="eastAsia"/>
          <w:highlight w:val="none"/>
        </w:rPr>
      </w:pPr>
    </w:p>
    <w:p w14:paraId="40B80D22">
      <w:pPr>
        <w:rPr>
          <w:rFonts w:hint="eastAsia" w:ascii="宋体" w:hAnsi="宋体"/>
          <w:sz w:val="24"/>
          <w:highlight w:val="none"/>
        </w:rPr>
      </w:pPr>
    </w:p>
    <w:p w14:paraId="6FA15749">
      <w:pPr>
        <w:pStyle w:val="5"/>
        <w:tabs>
          <w:tab w:val="left" w:pos="1500"/>
        </w:tabs>
        <w:rPr>
          <w:rFonts w:hint="eastAsia"/>
          <w:highlight w:val="none"/>
        </w:rPr>
      </w:pPr>
    </w:p>
    <w:p w14:paraId="35B8EEB4">
      <w:pPr>
        <w:rPr>
          <w:rFonts w:hint="eastAsia" w:ascii="宋体" w:hAnsi="宋体"/>
          <w:sz w:val="24"/>
          <w:highlight w:val="none"/>
        </w:rPr>
      </w:pPr>
    </w:p>
    <w:p w14:paraId="3FDC51FB">
      <w:pPr>
        <w:pStyle w:val="5"/>
        <w:tabs>
          <w:tab w:val="left" w:pos="1500"/>
        </w:tabs>
        <w:rPr>
          <w:rFonts w:hint="eastAsia"/>
          <w:highlight w:val="none"/>
        </w:rPr>
      </w:pPr>
    </w:p>
    <w:p w14:paraId="65A78C42">
      <w:pPr>
        <w:rPr>
          <w:rFonts w:hint="eastAsia"/>
          <w:highlight w:val="none"/>
        </w:rPr>
      </w:pPr>
    </w:p>
    <w:p w14:paraId="1831A8F5">
      <w:pPr>
        <w:pStyle w:val="5"/>
        <w:tabs>
          <w:tab w:val="left" w:pos="1500"/>
        </w:tabs>
        <w:rPr>
          <w:rFonts w:hint="eastAsia"/>
          <w:highlight w:val="none"/>
        </w:rPr>
      </w:pPr>
    </w:p>
    <w:p w14:paraId="1D3E1E3D">
      <w:pPr>
        <w:rPr>
          <w:rFonts w:hint="eastAsia"/>
          <w:highlight w:val="none"/>
        </w:rPr>
      </w:pPr>
      <w:r>
        <w:rPr>
          <w:highlight w:val="none"/>
        </w:rPr>
        <w:br w:type="page"/>
      </w:r>
    </w:p>
    <w:p w14:paraId="12710EC8">
      <w:pPr>
        <w:pStyle w:val="2"/>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攀枝花市第二人民医院购买</w:t>
            </w:r>
            <w:r>
              <w:rPr>
                <w:rFonts w:hint="eastAsia" w:ascii="宋体" w:hAnsi="宋体" w:eastAsia="宋体" w:cs="Times New Roman"/>
                <w:kern w:val="2"/>
                <w:sz w:val="24"/>
                <w:szCs w:val="24"/>
                <w:highlight w:val="none"/>
                <w:lang w:val="en-US" w:eastAsia="zh-CN" w:bidi="ar-SA"/>
              </w:rPr>
              <w:t>TCI注射泵</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cs="宋体"/>
                <w:highlight w:val="none"/>
                <w:lang w:val="en-US" w:eastAsia="zh-CN"/>
              </w:rPr>
              <w:t>12000元（壹万贰仟元整</w:t>
            </w:r>
            <w:r>
              <w:rPr>
                <w:rFonts w:hint="eastAsia" w:ascii="宋体" w:hAnsi="宋体" w:cs="宋体"/>
                <w:highlight w:val="none"/>
                <w:lang w:val="en-US" w:eastAsia="zh-CN"/>
              </w:rPr>
              <w:t>）</w:t>
            </w:r>
            <w:bookmarkStart w:id="73" w:name="_GoBack"/>
            <w:bookmarkEnd w:id="73"/>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5"/>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4"/>
        <w:rPr>
          <w:rFonts w:hint="eastAsia"/>
          <w:highlight w:val="none"/>
        </w:rPr>
      </w:pPr>
    </w:p>
    <w:p w14:paraId="075880F0">
      <w:pPr>
        <w:pStyle w:val="5"/>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5"/>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217446065"/>
      <w:bookmarkStart w:id="12" w:name="_Toc308164811"/>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5"/>
        <w:tabs>
          <w:tab w:val="left" w:pos="1500"/>
        </w:tabs>
        <w:rPr>
          <w:rFonts w:hint="eastAsia"/>
          <w:highlight w:val="none"/>
        </w:rPr>
      </w:pPr>
    </w:p>
    <w:p w14:paraId="128AC80B">
      <w:pPr>
        <w:rPr>
          <w:rFonts w:hint="eastAsia" w:ascii="宋体" w:hAnsi="宋体"/>
          <w:sz w:val="24"/>
          <w:highlight w:val="none"/>
        </w:rPr>
      </w:pPr>
    </w:p>
    <w:p w14:paraId="1FF10972">
      <w:pPr>
        <w:pStyle w:val="5"/>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2"/>
        <w:tabs>
          <w:tab w:val="left" w:pos="432"/>
        </w:tabs>
        <w:rPr>
          <w:rFonts w:hint="eastAsia"/>
          <w:highlight w:val="none"/>
        </w:rPr>
      </w:pPr>
      <w:bookmarkStart w:id="13" w:name="_Toc482600289"/>
      <w:bookmarkStart w:id="14" w:name="_Toc146532506"/>
      <w:bookmarkStart w:id="15" w:name="_Toc114649553"/>
      <w:bookmarkStart w:id="16" w:name="_Toc150831011"/>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53578485"/>
      <w:bookmarkStart w:id="19" w:name="_Toc325028467"/>
      <w:bookmarkStart w:id="20" w:name="_Toc476736016"/>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184704625"/>
      <w:bookmarkStart w:id="23" w:name="_Toc460503083"/>
      <w:bookmarkStart w:id="24" w:name="_Toc482600291"/>
      <w:bookmarkStart w:id="25" w:name="_Toc321598257"/>
      <w:bookmarkStart w:id="26" w:name="_Toc280877425"/>
      <w:bookmarkStart w:id="27" w:name="_Toc217446083"/>
      <w:bookmarkStart w:id="28" w:name="_Toc300303160"/>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5"/>
        <w:tabs>
          <w:tab w:val="left" w:pos="1500"/>
        </w:tabs>
        <w:rPr>
          <w:rFonts w:hint="eastAsia"/>
          <w:highlight w:val="none"/>
        </w:rPr>
      </w:pPr>
    </w:p>
    <w:p w14:paraId="09DE850C">
      <w:pPr>
        <w:rPr>
          <w:rFonts w:hint="eastAsia" w:ascii="宋体" w:hAnsi="宋体"/>
          <w:sz w:val="24"/>
          <w:highlight w:val="none"/>
        </w:rPr>
      </w:pPr>
    </w:p>
    <w:p w14:paraId="23ED7DE8">
      <w:pPr>
        <w:pStyle w:val="5"/>
        <w:tabs>
          <w:tab w:val="left" w:pos="1500"/>
        </w:tabs>
        <w:rPr>
          <w:rFonts w:hint="eastAsia"/>
          <w:highlight w:val="none"/>
        </w:rPr>
      </w:pPr>
    </w:p>
    <w:p w14:paraId="678CCA46">
      <w:pPr>
        <w:rPr>
          <w:rFonts w:hint="eastAsia" w:ascii="宋体" w:hAnsi="宋体"/>
          <w:sz w:val="24"/>
          <w:highlight w:val="none"/>
        </w:rPr>
      </w:pPr>
    </w:p>
    <w:p w14:paraId="25613E22">
      <w:pPr>
        <w:pStyle w:val="5"/>
        <w:tabs>
          <w:tab w:val="left" w:pos="1500"/>
        </w:tabs>
        <w:rPr>
          <w:rFonts w:hint="eastAsia"/>
          <w:highlight w:val="none"/>
        </w:rPr>
      </w:pPr>
    </w:p>
    <w:p w14:paraId="66FF2D06">
      <w:pPr>
        <w:rPr>
          <w:rFonts w:hint="eastAsia" w:ascii="宋体" w:hAnsi="宋体"/>
          <w:sz w:val="24"/>
          <w:highlight w:val="none"/>
        </w:rPr>
      </w:pPr>
    </w:p>
    <w:p w14:paraId="719CA182">
      <w:pPr>
        <w:pStyle w:val="5"/>
        <w:tabs>
          <w:tab w:val="left" w:pos="1500"/>
        </w:tabs>
        <w:rPr>
          <w:rFonts w:hint="eastAsia"/>
          <w:highlight w:val="none"/>
        </w:rPr>
      </w:pPr>
    </w:p>
    <w:p w14:paraId="5039A14C">
      <w:pPr>
        <w:rPr>
          <w:rFonts w:hint="eastAsia" w:ascii="宋体" w:hAnsi="宋体"/>
          <w:sz w:val="24"/>
          <w:highlight w:val="none"/>
        </w:rPr>
      </w:pPr>
    </w:p>
    <w:p w14:paraId="6F4F910E">
      <w:pPr>
        <w:pStyle w:val="5"/>
        <w:tabs>
          <w:tab w:val="left" w:pos="1500"/>
        </w:tabs>
        <w:rPr>
          <w:rFonts w:hint="eastAsia"/>
          <w:highlight w:val="none"/>
        </w:rPr>
      </w:pPr>
    </w:p>
    <w:p w14:paraId="6D8B36D2">
      <w:pPr>
        <w:pStyle w:val="5"/>
        <w:tabs>
          <w:tab w:val="left" w:pos="1500"/>
        </w:tabs>
        <w:rPr>
          <w:rFonts w:hint="eastAsia"/>
          <w:highlight w:val="none"/>
        </w:rPr>
      </w:pPr>
    </w:p>
    <w:p w14:paraId="5B3E72EE">
      <w:pPr>
        <w:pStyle w:val="5"/>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3"/>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5"/>
        <w:tabs>
          <w:tab w:val="left" w:pos="1500"/>
        </w:tabs>
        <w:rPr>
          <w:rFonts w:hint="eastAsia"/>
          <w:highlight w:val="none"/>
        </w:rPr>
      </w:pPr>
    </w:p>
    <w:p w14:paraId="74FEBDA3">
      <w:pPr>
        <w:rPr>
          <w:rFonts w:hint="eastAsia"/>
          <w:highlight w:val="none"/>
        </w:rPr>
      </w:pPr>
    </w:p>
    <w:p w14:paraId="41E31C6C">
      <w:pPr>
        <w:pStyle w:val="5"/>
        <w:tabs>
          <w:tab w:val="left" w:pos="1500"/>
        </w:tabs>
        <w:rPr>
          <w:rFonts w:hint="eastAsia"/>
          <w:highlight w:val="none"/>
        </w:rPr>
      </w:pPr>
    </w:p>
    <w:p w14:paraId="2004C38F">
      <w:pPr>
        <w:jc w:val="center"/>
        <w:rPr>
          <w:rFonts w:hint="eastAsia"/>
          <w:b/>
          <w:sz w:val="28"/>
          <w:highlight w:val="none"/>
        </w:rPr>
      </w:pPr>
      <w:bookmarkStart w:id="29" w:name="_Toc476736023"/>
      <w:bookmarkStart w:id="30" w:name="_Toc482600294"/>
      <w:r>
        <w:rPr>
          <w:rFonts w:hint="eastAsia"/>
          <w:b/>
          <w:sz w:val="28"/>
          <w:highlight w:val="none"/>
        </w:rPr>
        <w:t>格式五、比选申请人基本情况表</w:t>
      </w:r>
      <w:bookmarkEnd w:id="29"/>
      <w:bookmarkEnd w:id="3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7"/>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7"/>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7"/>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7"/>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7"/>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7"/>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7"/>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7"/>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7"/>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7"/>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7"/>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7"/>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7"/>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7"/>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7"/>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7"/>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7"/>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7"/>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7"/>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7"/>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7"/>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7"/>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7"/>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7"/>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7"/>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7"/>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7"/>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325028474"/>
      <w:bookmarkStart w:id="32" w:name="_Toc482600295"/>
      <w:bookmarkStart w:id="33" w:name="_Toc453578491"/>
      <w:bookmarkStart w:id="34" w:name="_Toc476736025"/>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5"/>
        <w:tabs>
          <w:tab w:val="left" w:pos="1500"/>
        </w:tabs>
        <w:rPr>
          <w:rFonts w:hint="eastAsia"/>
          <w:highlight w:val="none"/>
        </w:rPr>
      </w:pPr>
    </w:p>
    <w:p w14:paraId="556F341F">
      <w:pPr>
        <w:rPr>
          <w:rFonts w:hint="eastAsia"/>
          <w:highlight w:val="none"/>
        </w:rPr>
      </w:pPr>
    </w:p>
    <w:p w14:paraId="65295D0A">
      <w:pPr>
        <w:pStyle w:val="5"/>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3"/>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19"/>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3"/>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6"/>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53578493"/>
      <w:bookmarkStart w:id="45" w:name="_Toc476736029"/>
      <w:bookmarkStart w:id="46" w:name="_Toc482600306"/>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5"/>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5"/>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5"/>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5"/>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5"/>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5"/>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5"/>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5"/>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5"/>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5"/>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5"/>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5"/>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5"/>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5"/>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5"/>
        <w:tabs>
          <w:tab w:val="left" w:pos="1500"/>
        </w:tabs>
        <w:rPr>
          <w:rFonts w:hint="eastAsia" w:cs="Arial"/>
          <w:kern w:val="0"/>
          <w:highlight w:val="none"/>
        </w:rPr>
      </w:pPr>
    </w:p>
    <w:p w14:paraId="68094747">
      <w:pPr>
        <w:rPr>
          <w:rFonts w:hint="eastAsia" w:cs="Arial"/>
          <w:kern w:val="0"/>
          <w:highlight w:val="none"/>
        </w:rPr>
      </w:pPr>
    </w:p>
    <w:p w14:paraId="3826C1DB">
      <w:pPr>
        <w:pStyle w:val="4"/>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014376AF">
      <w:pPr>
        <w:pStyle w:val="2"/>
        <w:tabs>
          <w:tab w:val="left" w:pos="432"/>
        </w:tabs>
        <w:rPr>
          <w:rFonts w:hint="eastAsia"/>
          <w:highlight w:val="none"/>
        </w:rPr>
      </w:pPr>
      <w:bookmarkStart w:id="47" w:name="_Toc114649554"/>
      <w:bookmarkStart w:id="48" w:name="_Toc482600307"/>
      <w:r>
        <w:rPr>
          <w:rFonts w:hint="eastAsia"/>
          <w:highlight w:val="none"/>
        </w:rPr>
        <w:t>第四章  项目要求</w:t>
      </w:r>
      <w:bookmarkEnd w:id="47"/>
      <w:bookmarkEnd w:id="48"/>
    </w:p>
    <w:p w14:paraId="58F81098">
      <w:pPr>
        <w:spacing w:line="360" w:lineRule="auto"/>
        <w:rPr>
          <w:rFonts w:hint="eastAsia" w:ascii="宋体" w:hAnsi="宋体" w:cs="宋体"/>
          <w:b/>
          <w:sz w:val="24"/>
          <w:highlight w:val="none"/>
        </w:rPr>
      </w:pPr>
    </w:p>
    <w:p w14:paraId="16D45D45">
      <w:pPr>
        <w:spacing w:line="360" w:lineRule="auto"/>
        <w:ind w:firstLine="482" w:firstLineChars="200"/>
        <w:rPr>
          <w:rFonts w:hint="eastAsia" w:ascii="宋体" w:hAnsi="宋体" w:cs="宋体"/>
          <w:b/>
          <w:sz w:val="24"/>
          <w:highlight w:val="none"/>
        </w:rPr>
      </w:pPr>
      <w:bookmarkStart w:id="49" w:name="_Toc414614596"/>
      <w:bookmarkStart w:id="50" w:name="_Toc269717613"/>
      <w:bookmarkStart w:id="51" w:name="_Toc414266276"/>
      <w:bookmarkStart w:id="52" w:name="_Toc427148986"/>
      <w:bookmarkStart w:id="53" w:name="_Toc414266430"/>
      <w:bookmarkStart w:id="54" w:name="_Toc421277692"/>
      <w:bookmarkStart w:id="55" w:name="_Toc13620"/>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攀枝花市第二人民医院购买注射工作站</w:t>
      </w:r>
      <w:r>
        <w:rPr>
          <w:rFonts w:hint="eastAsia" w:ascii="宋体" w:hAnsi="宋体"/>
          <w:sz w:val="24"/>
          <w:highlight w:val="none"/>
          <w:lang w:eastAsia="zh-CN"/>
        </w:rPr>
        <w:t>：</w:t>
      </w:r>
    </w:p>
    <w:tbl>
      <w:tblPr>
        <w:tblStyle w:val="13"/>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TCI注射泵</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1.2</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18"/>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3626FFFC">
      <w:bookmarkStart w:id="57" w:name="_Toc81915897"/>
    </w:p>
    <w:p w14:paraId="253D5328">
      <w:pPr>
        <w:pStyle w:val="3"/>
        <w:jc w:val="center"/>
        <w:rPr>
          <w:rFonts w:ascii="方正准圆简体" w:eastAsia="方正准圆简体"/>
        </w:rPr>
      </w:pPr>
      <w:r>
        <w:rPr>
          <w:rFonts w:hint="eastAsia" w:ascii="方正准圆简体" w:eastAsia="方正准圆简体"/>
          <w:lang w:val="en-US" w:eastAsia="zh-CN"/>
        </w:rPr>
        <w:t>麻醉科 TCI</w:t>
      </w:r>
      <w:r>
        <w:rPr>
          <w:rFonts w:hint="eastAsia" w:ascii="方正准圆简体" w:eastAsia="方正准圆简体"/>
        </w:rPr>
        <w:t>双通道注射泵参数</w:t>
      </w:r>
    </w:p>
    <w:p w14:paraId="548FCE34">
      <w:pPr>
        <w:pStyle w:val="23"/>
        <w:numPr>
          <w:ilvl w:val="0"/>
          <w:numId w:val="3"/>
        </w:numPr>
        <w:spacing w:line="360" w:lineRule="auto"/>
        <w:ind w:firstLineChars="0"/>
        <w:jc w:val="left"/>
        <w:rPr>
          <w:rFonts w:ascii="方正准圆简体" w:hAnsi="宋体" w:eastAsia="方正准圆简体"/>
          <w:szCs w:val="21"/>
        </w:rPr>
      </w:pPr>
      <w:r>
        <w:rPr>
          <w:rFonts w:hint="eastAsia" w:ascii="方正准圆简体" w:hAnsi="宋体" w:eastAsia="方正准圆简体"/>
          <w:szCs w:val="21"/>
        </w:rPr>
        <w:t>双通道注射泵，两个通道独立电源控制，方便临床使用</w:t>
      </w:r>
    </w:p>
    <w:p w14:paraId="33A8A76D">
      <w:pPr>
        <w:pStyle w:val="23"/>
        <w:numPr>
          <w:ilvl w:val="0"/>
          <w:numId w:val="3"/>
        </w:numPr>
        <w:spacing w:line="360" w:lineRule="auto"/>
        <w:ind w:firstLineChars="0"/>
        <w:rPr>
          <w:rFonts w:ascii="方正准圆简体" w:hAnsi="宋体" w:eastAsia="方正准圆简体"/>
          <w:b/>
          <w:bCs/>
          <w:szCs w:val="21"/>
        </w:rPr>
      </w:pPr>
      <w:r>
        <w:rPr>
          <w:rFonts w:hint="eastAsia" w:ascii="方正准圆简体" w:hAnsi="宋体" w:eastAsia="方正准圆简体"/>
          <w:b/>
          <w:bCs/>
          <w:szCs w:val="21"/>
        </w:rPr>
        <w:t>▲</w:t>
      </w:r>
      <w:r>
        <w:rPr>
          <w:rFonts w:hint="eastAsia" w:ascii="方正准圆简体" w:hAnsi="宋体" w:eastAsia="方正准圆简体"/>
          <w:b/>
          <w:bCs/>
          <w:szCs w:val="21"/>
          <w:lang w:val="en-US" w:eastAsia="zh-CN"/>
        </w:rPr>
        <w:t>≥</w:t>
      </w:r>
      <w:r>
        <w:rPr>
          <w:rFonts w:hint="eastAsia" w:ascii="方正准圆简体" w:hAnsi="宋体" w:eastAsia="方正准圆简体"/>
          <w:b/>
          <w:bCs/>
          <w:szCs w:val="21"/>
        </w:rPr>
        <w:t>3.5英寸触摸屏：全中文显示，方便快捷的人机操作界面</w:t>
      </w:r>
    </w:p>
    <w:p w14:paraId="1ED29CC4">
      <w:pPr>
        <w:pStyle w:val="23"/>
        <w:numPr>
          <w:ilvl w:val="0"/>
          <w:numId w:val="3"/>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能自动识别规格为5、10、20、30和50/60ml的一次性注射器</w:t>
      </w:r>
    </w:p>
    <w:p w14:paraId="6A0A9E23">
      <w:pPr>
        <w:pStyle w:val="23"/>
        <w:numPr>
          <w:ilvl w:val="0"/>
          <w:numId w:val="3"/>
        </w:numPr>
        <w:spacing w:line="360" w:lineRule="auto"/>
        <w:ind w:firstLineChars="0"/>
        <w:rPr>
          <w:rFonts w:hint="eastAsia" w:ascii="方正准圆简体" w:hAnsi="宋体" w:eastAsia="方正准圆简体"/>
          <w:b/>
          <w:bCs/>
          <w:szCs w:val="21"/>
          <w:lang w:eastAsia="zh-CN"/>
        </w:rPr>
      </w:pPr>
      <w:r>
        <w:rPr>
          <w:rFonts w:hint="eastAsia" w:ascii="方正准圆简体" w:hAnsi="宋体" w:eastAsia="方正准圆简体"/>
          <w:b/>
          <w:bCs/>
          <w:szCs w:val="21"/>
        </w:rPr>
        <w:t>▲注射模式：≥</w:t>
      </w:r>
      <w:r>
        <w:rPr>
          <w:rFonts w:hint="eastAsia" w:ascii="方正准圆简体" w:hAnsi="宋体" w:eastAsia="方正准圆简体"/>
          <w:b/>
          <w:bCs/>
          <w:szCs w:val="21"/>
          <w:lang w:val="en-US" w:eastAsia="zh-CN"/>
        </w:rPr>
        <w:t>9</w:t>
      </w:r>
      <w:r>
        <w:rPr>
          <w:rFonts w:hint="eastAsia" w:ascii="方正准圆简体" w:hAnsi="宋体" w:eastAsia="方正准圆简体"/>
          <w:b/>
          <w:bCs/>
          <w:szCs w:val="21"/>
        </w:rPr>
        <w:t>种模式，支持速度模式、时间模式、体重模式、梯度模式、首剂量模式、序列模式、TIVA模式、微量模式、</w:t>
      </w:r>
      <w:r>
        <w:rPr>
          <w:rFonts w:hint="eastAsia" w:ascii="方正准圆简体" w:hAnsi="宋体" w:eastAsia="方正准圆简体"/>
          <w:b/>
          <w:bCs/>
          <w:szCs w:val="21"/>
          <w:lang w:val="en-US" w:eastAsia="zh-CN"/>
        </w:rPr>
        <w:t>TCI模式</w:t>
      </w:r>
    </w:p>
    <w:p w14:paraId="7E25BBA7">
      <w:pPr>
        <w:pStyle w:val="23"/>
        <w:numPr>
          <w:ilvl w:val="0"/>
          <w:numId w:val="3"/>
        </w:numPr>
        <w:spacing w:line="360" w:lineRule="auto"/>
        <w:ind w:firstLineChars="0"/>
        <w:rPr>
          <w:rFonts w:hint="eastAsia" w:ascii="方正准圆简体" w:hAnsi="宋体" w:eastAsia="方正准圆简体"/>
          <w:szCs w:val="21"/>
          <w:lang w:eastAsia="zh-CN"/>
        </w:rPr>
      </w:pPr>
      <w:r>
        <w:rPr>
          <w:rFonts w:hint="eastAsia" w:ascii="方正准圆简体" w:hAnsi="宋体" w:eastAsia="方正准圆简体"/>
          <w:szCs w:val="21"/>
          <w:lang w:val="en-US" w:eastAsia="zh-CN"/>
        </w:rPr>
        <w:t>TCI模式时可显示常用静脉麻醉药物的实时血浆浓度、效应室浓度，并可提供血药浓度预测</w:t>
      </w:r>
    </w:p>
    <w:p w14:paraId="6CC723C6">
      <w:pPr>
        <w:pStyle w:val="23"/>
        <w:numPr>
          <w:ilvl w:val="0"/>
          <w:numId w:val="3"/>
        </w:numPr>
        <w:spacing w:line="360" w:lineRule="auto"/>
        <w:ind w:firstLineChars="0"/>
        <w:rPr>
          <w:rFonts w:hint="eastAsia" w:ascii="方正准圆简体" w:hAnsi="宋体" w:eastAsia="方正准圆简体"/>
          <w:szCs w:val="21"/>
        </w:rPr>
      </w:pPr>
      <w:r>
        <w:rPr>
          <w:rFonts w:hint="eastAsia" w:ascii="方正准圆简体" w:hAnsi="宋体" w:eastAsia="方正准圆简体"/>
          <w:b/>
          <w:bCs/>
          <w:szCs w:val="21"/>
        </w:rPr>
        <w:t>▲</w:t>
      </w:r>
      <w:r>
        <w:rPr>
          <w:rFonts w:hint="eastAsia" w:ascii="方正准圆简体" w:hAnsi="宋体" w:eastAsia="方正准圆简体"/>
          <w:b/>
          <w:bCs/>
          <w:szCs w:val="21"/>
          <w:lang w:eastAsia="zh-CN"/>
        </w:rPr>
        <w:t>具有最少三</w:t>
      </w:r>
      <w:r>
        <w:rPr>
          <w:rFonts w:hint="eastAsia" w:ascii="方正准圆简体" w:hAnsi="宋体" w:eastAsia="方正准圆简体"/>
          <w:b/>
          <w:bCs/>
          <w:szCs w:val="21"/>
        </w:rPr>
        <w:t>种麻醉药物（</w:t>
      </w:r>
      <w:r>
        <w:rPr>
          <w:rFonts w:hint="eastAsia" w:ascii="方正准圆简体" w:hAnsi="宋体" w:eastAsia="方正准圆简体"/>
          <w:b/>
          <w:bCs/>
          <w:szCs w:val="21"/>
          <w:lang w:eastAsia="zh-CN"/>
        </w:rPr>
        <w:t>丙泊酚</w:t>
      </w:r>
      <w:r>
        <w:rPr>
          <w:rFonts w:hint="eastAsia" w:ascii="方正准圆简体" w:hAnsi="宋体" w:eastAsia="方正准圆简体"/>
          <w:b/>
          <w:bCs/>
          <w:szCs w:val="21"/>
        </w:rPr>
        <w:t>、瑞芬太尼、舒芬太尼）的药代动力学模型，</w:t>
      </w:r>
      <w:r>
        <w:rPr>
          <w:rFonts w:hint="eastAsia" w:ascii="方正准圆简体" w:hAnsi="宋体" w:eastAsia="方正准圆简体"/>
          <w:b/>
          <w:bCs/>
          <w:szCs w:val="21"/>
          <w:lang w:val="en-US" w:eastAsia="zh-CN"/>
        </w:rPr>
        <w:t xml:space="preserve"> 丙泊酚</w:t>
      </w:r>
      <w:r>
        <w:rPr>
          <w:rFonts w:hint="eastAsia" w:ascii="方正准圆简体" w:hAnsi="宋体" w:eastAsia="方正准圆简体"/>
          <w:b/>
          <w:bCs/>
          <w:szCs w:val="21"/>
        </w:rPr>
        <w:t>具有儿童模型（年龄范围</w:t>
      </w:r>
      <w:r>
        <w:rPr>
          <w:rFonts w:hint="eastAsia" w:ascii="方正准圆简体" w:hAnsi="宋体" w:eastAsia="方正准圆简体"/>
          <w:b/>
          <w:bCs/>
          <w:szCs w:val="21"/>
          <w:lang w:val="en-US" w:eastAsia="zh-CN"/>
        </w:rPr>
        <w:t>1</w:t>
      </w:r>
      <w:r>
        <w:rPr>
          <w:rFonts w:hint="eastAsia" w:ascii="方正准圆简体" w:hAnsi="宋体" w:eastAsia="方正准圆简体"/>
          <w:b/>
          <w:bCs/>
          <w:szCs w:val="21"/>
        </w:rPr>
        <w:t>岁一1</w:t>
      </w:r>
      <w:r>
        <w:rPr>
          <w:rFonts w:hint="eastAsia" w:ascii="方正准圆简体" w:hAnsi="宋体" w:eastAsia="方正准圆简体"/>
          <w:b/>
          <w:bCs/>
          <w:szCs w:val="21"/>
          <w:lang w:val="en-US" w:eastAsia="zh-CN"/>
        </w:rPr>
        <w:t>8</w:t>
      </w:r>
      <w:r>
        <w:rPr>
          <w:rFonts w:hint="eastAsia" w:ascii="方正准圆简体" w:hAnsi="宋体" w:eastAsia="方正准圆简体"/>
          <w:b/>
          <w:bCs/>
          <w:szCs w:val="21"/>
        </w:rPr>
        <w:t>岁）</w:t>
      </w:r>
    </w:p>
    <w:p w14:paraId="6920B0BA">
      <w:pPr>
        <w:pStyle w:val="23"/>
        <w:numPr>
          <w:ilvl w:val="0"/>
          <w:numId w:val="3"/>
        </w:numPr>
        <w:spacing w:line="360" w:lineRule="auto"/>
        <w:ind w:firstLineChars="0"/>
        <w:rPr>
          <w:rFonts w:hint="eastAsia" w:ascii="方正准圆简体" w:hAnsi="宋体" w:eastAsia="方正准圆简体"/>
          <w:b/>
          <w:bCs/>
          <w:szCs w:val="21"/>
        </w:rPr>
      </w:pPr>
      <w:r>
        <w:rPr>
          <w:rFonts w:hint="eastAsia" w:ascii="方正准圆简体" w:hAnsi="宋体" w:eastAsia="方正准圆简体"/>
          <w:b/>
          <w:bCs/>
          <w:szCs w:val="21"/>
        </w:rPr>
        <w:t>▲</w:t>
      </w:r>
      <w:r>
        <w:rPr>
          <w:rFonts w:hint="eastAsia" w:ascii="方正准圆简体" w:hAnsi="宋体" w:eastAsia="方正准圆简体"/>
          <w:b/>
          <w:bCs/>
          <w:szCs w:val="21"/>
          <w:lang w:val="en-US" w:eastAsia="zh-CN"/>
        </w:rPr>
        <w:t>双通道注射泵间可实现</w:t>
      </w:r>
      <w:r>
        <w:rPr>
          <w:rFonts w:hint="eastAsia" w:ascii="方正准圆简体" w:hAnsi="宋体" w:eastAsia="方正准圆简体"/>
          <w:b/>
          <w:bCs/>
          <w:szCs w:val="21"/>
        </w:rPr>
        <w:t>病人</w:t>
      </w:r>
      <w:r>
        <w:rPr>
          <w:rFonts w:hint="eastAsia" w:ascii="方正准圆简体" w:hAnsi="宋体" w:eastAsia="方正准圆简体"/>
          <w:b/>
          <w:bCs/>
          <w:szCs w:val="21"/>
          <w:lang w:val="en-US" w:eastAsia="zh-CN"/>
        </w:rPr>
        <w:t>信息</w:t>
      </w:r>
      <w:r>
        <w:rPr>
          <w:rFonts w:hint="eastAsia" w:ascii="方正准圆简体" w:hAnsi="宋体" w:eastAsia="方正准圆简体"/>
          <w:b/>
          <w:bCs/>
          <w:szCs w:val="21"/>
        </w:rPr>
        <w:t>参数同步功能</w:t>
      </w:r>
    </w:p>
    <w:p w14:paraId="117B3C6D">
      <w:pPr>
        <w:pStyle w:val="23"/>
        <w:numPr>
          <w:ilvl w:val="0"/>
          <w:numId w:val="3"/>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序列模式：可设置10组序列，且序列模式中具有暂停功能</w:t>
      </w:r>
    </w:p>
    <w:p w14:paraId="2D1E52D4">
      <w:pPr>
        <w:pStyle w:val="23"/>
        <w:numPr>
          <w:ilvl w:val="0"/>
          <w:numId w:val="3"/>
        </w:numPr>
        <w:spacing w:line="360" w:lineRule="auto"/>
        <w:ind w:firstLineChars="0"/>
        <w:rPr>
          <w:rFonts w:ascii="方正准圆简体" w:hAnsi="宋体" w:eastAsia="方正准圆简体"/>
          <w:b/>
          <w:bCs/>
          <w:szCs w:val="21"/>
        </w:rPr>
      </w:pPr>
      <w:r>
        <w:rPr>
          <w:rFonts w:hint="eastAsia" w:ascii="方正准圆简体" w:hAnsi="宋体" w:eastAsia="方正准圆简体"/>
          <w:b/>
          <w:bCs/>
          <w:szCs w:val="21"/>
        </w:rPr>
        <w:t>▲级联模式：两个通道同时开启，具有级联模式</w:t>
      </w:r>
    </w:p>
    <w:p w14:paraId="4C5B181C">
      <w:pPr>
        <w:pStyle w:val="23"/>
        <w:numPr>
          <w:ilvl w:val="0"/>
          <w:numId w:val="3"/>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具有手动快进、快速定量快进、自动快进等三种快进方式可选</w:t>
      </w:r>
    </w:p>
    <w:p w14:paraId="38A45626">
      <w:pPr>
        <w:pStyle w:val="23"/>
        <w:numPr>
          <w:ilvl w:val="0"/>
          <w:numId w:val="3"/>
        </w:numPr>
        <w:spacing w:line="360" w:lineRule="auto"/>
        <w:ind w:firstLineChars="0"/>
        <w:rPr>
          <w:rFonts w:hint="eastAsia" w:ascii="方正准圆简体" w:hAnsi="宋体" w:eastAsia="方正准圆简体"/>
          <w:b/>
          <w:bCs/>
          <w:sz w:val="21"/>
          <w:szCs w:val="21"/>
          <w:lang w:val="en-US" w:eastAsia="zh-CN"/>
        </w:rPr>
      </w:pPr>
      <w:r>
        <w:rPr>
          <w:rFonts w:hint="eastAsia" w:ascii="方正准圆简体" w:hAnsi="宋体" w:eastAsia="方正准圆简体"/>
          <w:b/>
          <w:bCs/>
          <w:sz w:val="21"/>
          <w:szCs w:val="21"/>
          <w:lang w:val="en-US" w:eastAsia="zh-CN"/>
        </w:rPr>
        <w:t>▲速率范围：0.1-2000ml/h（最小0.01 ml/h递增）</w:t>
      </w:r>
    </w:p>
    <w:p w14:paraId="62B2FDF8">
      <w:pPr>
        <w:pStyle w:val="23"/>
        <w:numPr>
          <w:ilvl w:val="0"/>
          <w:numId w:val="3"/>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注射精度: ≤±2% ；机械精度≤±0.5%</w:t>
      </w:r>
    </w:p>
    <w:p w14:paraId="4C8136FD">
      <w:pPr>
        <w:pStyle w:val="23"/>
        <w:numPr>
          <w:ilvl w:val="0"/>
          <w:numId w:val="3"/>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阻塞级别：150mmHg~975mmHg，12级可选择，动态显示管路的压力状态</w:t>
      </w:r>
    </w:p>
    <w:p w14:paraId="5AA97E71">
      <w:pPr>
        <w:pStyle w:val="23"/>
        <w:numPr>
          <w:ilvl w:val="0"/>
          <w:numId w:val="3"/>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支持选配药物库,</w:t>
      </w:r>
      <w:r>
        <w:rPr>
          <w:rFonts w:hint="eastAsia" w:ascii="方正准圆简体" w:eastAsia="方正准圆简体"/>
        </w:rPr>
        <w:t xml:space="preserve"> </w:t>
      </w:r>
      <w:r>
        <w:rPr>
          <w:rFonts w:hint="eastAsia" w:ascii="方正准圆简体" w:hAnsi="宋体" w:eastAsia="方正准圆简体"/>
          <w:szCs w:val="21"/>
        </w:rPr>
        <w:t>可存储至少2000种药物</w:t>
      </w:r>
    </w:p>
    <w:p w14:paraId="51E10A35">
      <w:pPr>
        <w:pStyle w:val="23"/>
        <w:numPr>
          <w:ilvl w:val="0"/>
          <w:numId w:val="3"/>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声音音量等级：可调10级报警音量</w:t>
      </w:r>
    </w:p>
    <w:p w14:paraId="1EDE335B">
      <w:pPr>
        <w:pStyle w:val="23"/>
        <w:numPr>
          <w:ilvl w:val="0"/>
          <w:numId w:val="3"/>
        </w:numPr>
        <w:spacing w:line="360" w:lineRule="auto"/>
        <w:ind w:firstLineChars="0"/>
        <w:rPr>
          <w:rFonts w:hint="eastAsia" w:ascii="方正准圆简体" w:hAnsi="宋体" w:eastAsia="方正准圆简体" w:cs="宋体"/>
          <w:sz w:val="21"/>
          <w:szCs w:val="21"/>
          <w:lang w:val="en-US" w:eastAsia="zh-CN"/>
        </w:rPr>
      </w:pPr>
      <w:r>
        <w:rPr>
          <w:rFonts w:hint="eastAsia" w:ascii="方正准圆简体" w:hAnsi="宋体" w:eastAsia="方正准圆简体"/>
          <w:szCs w:val="21"/>
        </w:rPr>
        <w:t>夜间模式：可自动降低亮度和报警音量，时间段可调</w:t>
      </w:r>
    </w:p>
    <w:p w14:paraId="76594F05">
      <w:pPr>
        <w:pStyle w:val="23"/>
        <w:numPr>
          <w:ilvl w:val="0"/>
          <w:numId w:val="3"/>
        </w:numPr>
        <w:spacing w:line="360" w:lineRule="auto"/>
        <w:ind w:firstLineChars="0"/>
        <w:rPr>
          <w:rFonts w:hint="eastAsia" w:ascii="方正准圆简体" w:hAnsi="宋体" w:eastAsia="方正准圆简体" w:cs="宋体"/>
          <w:sz w:val="21"/>
          <w:szCs w:val="21"/>
          <w:lang w:val="en-US" w:eastAsia="zh-CN"/>
        </w:rPr>
      </w:pPr>
      <w:r>
        <w:rPr>
          <w:rFonts w:hint="eastAsia" w:ascii="方正准圆简体" w:hAnsi="宋体" w:eastAsia="方正准圆简体" w:cs="宋体"/>
          <w:sz w:val="21"/>
          <w:szCs w:val="21"/>
          <w:lang w:val="en-US" w:eastAsia="zh-CN"/>
        </w:rPr>
        <w:t>具有持续质量改进功能，并新建形成报告，用于统计输注报警事件、药物液量、输注模式等进行统计对比</w:t>
      </w:r>
    </w:p>
    <w:p w14:paraId="313AA717">
      <w:pPr>
        <w:pStyle w:val="23"/>
        <w:numPr>
          <w:ilvl w:val="0"/>
          <w:numId w:val="3"/>
        </w:numPr>
        <w:spacing w:line="360" w:lineRule="auto"/>
        <w:ind w:firstLineChars="0"/>
        <w:rPr>
          <w:rFonts w:hint="eastAsia" w:eastAsia="宋体"/>
          <w:lang w:eastAsia="zh-CN"/>
        </w:rPr>
      </w:pPr>
      <w:r>
        <w:rPr>
          <w:rFonts w:hint="eastAsia" w:ascii="方正准圆简体" w:hAnsi="宋体" w:eastAsia="方正准圆简体"/>
          <w:szCs w:val="21"/>
          <w:lang w:val="en-US" w:eastAsia="zh-CN"/>
        </w:rPr>
        <w:t>防护等级</w:t>
      </w:r>
      <w:r>
        <w:rPr>
          <w:rFonts w:hint="eastAsia" w:ascii="方正准圆简体" w:hAnsi="宋体" w:eastAsia="方正准圆简体"/>
          <w:szCs w:val="21"/>
        </w:rPr>
        <w:t>IP34</w:t>
      </w:r>
    </w:p>
    <w:p w14:paraId="14943A96">
      <w:pPr>
        <w:pStyle w:val="23"/>
        <w:numPr>
          <w:ilvl w:val="0"/>
          <w:numId w:val="3"/>
        </w:numPr>
        <w:spacing w:line="360" w:lineRule="auto"/>
        <w:ind w:firstLineChars="0"/>
        <w:rPr>
          <w:rFonts w:hint="eastAsia" w:eastAsia="宋体"/>
          <w:lang w:eastAsia="zh-CN"/>
        </w:rPr>
      </w:pPr>
      <w:r>
        <w:rPr>
          <w:rFonts w:hint="eastAsia" w:ascii="方正准圆简体" w:hAnsi="宋体" w:eastAsia="方正准圆简体" w:cs="宋体"/>
          <w:szCs w:val="21"/>
        </w:rPr>
        <w:t>内置锂电池，以5ml/h速度注射，可</w:t>
      </w:r>
      <w:r>
        <w:rPr>
          <w:rFonts w:hint="eastAsia" w:ascii="方正准圆简体" w:hAnsi="宋体" w:eastAsia="方正准圆简体"/>
          <w:szCs w:val="21"/>
          <w:lang w:val="en-US" w:eastAsia="zh-CN"/>
        </w:rPr>
        <w:t>实现工作时间最长不少于10h</w:t>
      </w:r>
    </w:p>
    <w:p w14:paraId="4665E0BA">
      <w:pPr>
        <w:pStyle w:val="23"/>
        <w:numPr>
          <w:ilvl w:val="0"/>
          <w:numId w:val="3"/>
        </w:numPr>
        <w:spacing w:line="360" w:lineRule="auto"/>
        <w:ind w:firstLineChars="0"/>
        <w:rPr>
          <w:rFonts w:hint="eastAsia" w:eastAsia="宋体"/>
          <w:b/>
          <w:bCs/>
          <w:lang w:eastAsia="zh-CN"/>
        </w:rPr>
      </w:pPr>
      <w:r>
        <w:rPr>
          <w:rFonts w:hint="eastAsia" w:ascii="方正准圆简体" w:hAnsi="宋体" w:eastAsia="方正准圆简体"/>
          <w:b/>
          <w:bCs/>
          <w:szCs w:val="21"/>
        </w:rPr>
        <w:t>▲</w:t>
      </w:r>
      <w:r>
        <w:rPr>
          <w:rFonts w:hint="eastAsia" w:ascii="方正准圆简体" w:hAnsi="宋体" w:eastAsia="方正准圆简体"/>
          <w:b/>
          <w:bCs/>
          <w:sz w:val="21"/>
          <w:szCs w:val="21"/>
          <w:lang w:val="en-US" w:eastAsia="zh-CN"/>
        </w:rPr>
        <w:t>界面风格可设置多种主题颜色，以便通过颜色快速识别输注药物</w:t>
      </w:r>
    </w:p>
    <w:p w14:paraId="77D739D0">
      <w:pPr>
        <w:pStyle w:val="23"/>
        <w:numPr>
          <w:ilvl w:val="0"/>
          <w:numId w:val="0"/>
        </w:numPr>
        <w:spacing w:line="360" w:lineRule="auto"/>
        <w:ind w:leftChars="0"/>
        <w:rPr>
          <w:rFonts w:hint="default" w:eastAsia="宋体"/>
          <w:b/>
          <w:bCs/>
          <w:lang w:val="en-US" w:eastAsia="zh-CN"/>
        </w:rPr>
      </w:pPr>
      <w:r>
        <w:rPr>
          <w:rFonts w:hint="eastAsia" w:eastAsia="宋体"/>
          <w:lang w:val="en-US" w:eastAsia="zh-CN"/>
        </w:rPr>
        <w:t xml:space="preserve">      </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rPr>
        <w:t>”项为关键技术指标要求</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2"/>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217446103"/>
      <w:bookmarkStart w:id="64" w:name="_Toc482600312"/>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3"/>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3AA19FFA">
            <w:pPr>
              <w:pStyle w:val="3"/>
              <w:jc w:val="center"/>
              <w:rPr>
                <w:rFonts w:ascii="方正准圆简体" w:eastAsia="方正准圆简体"/>
              </w:rPr>
            </w:pPr>
            <w:r>
              <w:rPr>
                <w:rStyle w:val="20"/>
                <w:rFonts w:hint="eastAsia" w:ascii="宋体" w:hAnsi="宋体" w:eastAsia="宋体" w:cs="Times New Roman"/>
                <w:b/>
                <w:bCs/>
                <w:szCs w:val="21"/>
                <w:lang w:val="en-US" w:eastAsia="zh-CN"/>
              </w:rPr>
              <w:t xml:space="preserve"> TCI</w:t>
            </w:r>
            <w:r>
              <w:rPr>
                <w:rStyle w:val="20"/>
                <w:rFonts w:hint="eastAsia" w:ascii="宋体" w:hAnsi="宋体" w:eastAsia="宋体" w:cs="Times New Roman"/>
                <w:b/>
                <w:bCs/>
                <w:szCs w:val="21"/>
              </w:rPr>
              <w:t>双通道注射泵参数</w:t>
            </w:r>
          </w:p>
          <w:p w14:paraId="7729854C">
            <w:pPr>
              <w:pStyle w:val="23"/>
              <w:numPr>
                <w:ilvl w:val="0"/>
                <w:numId w:val="4"/>
              </w:numPr>
              <w:spacing w:line="360" w:lineRule="auto"/>
              <w:ind w:firstLineChars="0"/>
              <w:jc w:val="left"/>
              <w:rPr>
                <w:rFonts w:ascii="方正准圆简体" w:hAnsi="宋体" w:eastAsia="方正准圆简体"/>
                <w:szCs w:val="21"/>
              </w:rPr>
            </w:pPr>
            <w:r>
              <w:rPr>
                <w:rFonts w:hint="eastAsia" w:ascii="方正准圆简体" w:hAnsi="宋体" w:eastAsia="方正准圆简体"/>
                <w:szCs w:val="21"/>
              </w:rPr>
              <w:t>双通道注射泵，两个通道独立电源控制，方便临床使用</w:t>
            </w:r>
          </w:p>
          <w:p w14:paraId="7647553A">
            <w:pPr>
              <w:pStyle w:val="23"/>
              <w:numPr>
                <w:ilvl w:val="0"/>
                <w:numId w:val="4"/>
              </w:numPr>
              <w:spacing w:line="360" w:lineRule="auto"/>
              <w:ind w:firstLineChars="0"/>
              <w:rPr>
                <w:rFonts w:ascii="方正准圆简体" w:hAnsi="宋体" w:eastAsia="方正准圆简体"/>
                <w:b/>
                <w:bCs/>
                <w:szCs w:val="21"/>
              </w:rPr>
            </w:pPr>
            <w:r>
              <w:rPr>
                <w:rFonts w:hint="eastAsia" w:ascii="方正准圆简体" w:hAnsi="宋体" w:eastAsia="方正准圆简体"/>
                <w:b/>
                <w:bCs/>
                <w:szCs w:val="21"/>
              </w:rPr>
              <w:t>▲</w:t>
            </w:r>
            <w:r>
              <w:rPr>
                <w:rFonts w:hint="eastAsia" w:ascii="方正准圆简体" w:hAnsi="宋体" w:eastAsia="方正准圆简体"/>
                <w:b/>
                <w:bCs/>
                <w:szCs w:val="21"/>
                <w:lang w:val="en-US" w:eastAsia="zh-CN"/>
              </w:rPr>
              <w:t>≥</w:t>
            </w:r>
            <w:r>
              <w:rPr>
                <w:rFonts w:hint="eastAsia" w:ascii="方正准圆简体" w:hAnsi="宋体" w:eastAsia="方正准圆简体"/>
                <w:b/>
                <w:bCs/>
                <w:szCs w:val="21"/>
              </w:rPr>
              <w:t>3.5英寸触摸屏：全中文显示，方便快捷的人机操作界面</w:t>
            </w:r>
          </w:p>
          <w:p w14:paraId="3E71339D">
            <w:pPr>
              <w:pStyle w:val="23"/>
              <w:numPr>
                <w:ilvl w:val="0"/>
                <w:numId w:val="4"/>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能自动识别规格为5、10、20、30和50/60ml的一次性注射器</w:t>
            </w:r>
          </w:p>
          <w:p w14:paraId="2F656021">
            <w:pPr>
              <w:pStyle w:val="23"/>
              <w:numPr>
                <w:ilvl w:val="0"/>
                <w:numId w:val="4"/>
              </w:numPr>
              <w:spacing w:line="360" w:lineRule="auto"/>
              <w:ind w:firstLineChars="0"/>
              <w:rPr>
                <w:rFonts w:hint="eastAsia" w:ascii="方正准圆简体" w:hAnsi="宋体" w:eastAsia="方正准圆简体"/>
                <w:b/>
                <w:bCs/>
                <w:szCs w:val="21"/>
                <w:lang w:eastAsia="zh-CN"/>
              </w:rPr>
            </w:pPr>
            <w:r>
              <w:rPr>
                <w:rFonts w:hint="eastAsia" w:ascii="方正准圆简体" w:hAnsi="宋体" w:eastAsia="方正准圆简体"/>
                <w:b/>
                <w:bCs/>
                <w:szCs w:val="21"/>
              </w:rPr>
              <w:t>▲注射模式：≥</w:t>
            </w:r>
            <w:r>
              <w:rPr>
                <w:rFonts w:hint="eastAsia" w:ascii="方正准圆简体" w:hAnsi="宋体" w:eastAsia="方正准圆简体"/>
                <w:b/>
                <w:bCs/>
                <w:szCs w:val="21"/>
                <w:lang w:val="en-US" w:eastAsia="zh-CN"/>
              </w:rPr>
              <w:t>9</w:t>
            </w:r>
            <w:r>
              <w:rPr>
                <w:rFonts w:hint="eastAsia" w:ascii="方正准圆简体" w:hAnsi="宋体" w:eastAsia="方正准圆简体"/>
                <w:b/>
                <w:bCs/>
                <w:szCs w:val="21"/>
              </w:rPr>
              <w:t>种模式，支持速度模式、时间模式、体重模式、梯度模式、首剂量模式、序列模式、TIVA模式、微量模式、</w:t>
            </w:r>
            <w:r>
              <w:rPr>
                <w:rFonts w:hint="eastAsia" w:ascii="方正准圆简体" w:hAnsi="宋体" w:eastAsia="方正准圆简体"/>
                <w:b/>
                <w:bCs/>
                <w:szCs w:val="21"/>
                <w:lang w:val="en-US" w:eastAsia="zh-CN"/>
              </w:rPr>
              <w:t>TCI模式</w:t>
            </w:r>
          </w:p>
          <w:p w14:paraId="484B8AE5">
            <w:pPr>
              <w:pStyle w:val="23"/>
              <w:numPr>
                <w:ilvl w:val="0"/>
                <w:numId w:val="4"/>
              </w:numPr>
              <w:spacing w:line="360" w:lineRule="auto"/>
              <w:ind w:firstLineChars="0"/>
              <w:rPr>
                <w:rFonts w:hint="eastAsia" w:ascii="方正准圆简体" w:hAnsi="宋体" w:eastAsia="方正准圆简体"/>
                <w:szCs w:val="21"/>
                <w:lang w:eastAsia="zh-CN"/>
              </w:rPr>
            </w:pPr>
            <w:r>
              <w:rPr>
                <w:rFonts w:hint="eastAsia" w:ascii="方正准圆简体" w:hAnsi="宋体" w:eastAsia="方正准圆简体"/>
                <w:szCs w:val="21"/>
                <w:lang w:val="en-US" w:eastAsia="zh-CN"/>
              </w:rPr>
              <w:t>TCI模式时可显示常用静脉麻醉药物的实时血浆浓度、效应室浓度，并可提供血药浓度预测</w:t>
            </w:r>
          </w:p>
          <w:p w14:paraId="406A3954">
            <w:pPr>
              <w:pStyle w:val="23"/>
              <w:numPr>
                <w:ilvl w:val="0"/>
                <w:numId w:val="4"/>
              </w:numPr>
              <w:spacing w:line="360" w:lineRule="auto"/>
              <w:ind w:firstLineChars="0"/>
              <w:rPr>
                <w:rFonts w:hint="eastAsia" w:ascii="方正准圆简体" w:hAnsi="宋体" w:eastAsia="方正准圆简体"/>
                <w:szCs w:val="21"/>
              </w:rPr>
            </w:pPr>
            <w:r>
              <w:rPr>
                <w:rFonts w:hint="eastAsia" w:ascii="方正准圆简体" w:hAnsi="宋体" w:eastAsia="方正准圆简体"/>
                <w:b/>
                <w:bCs/>
                <w:szCs w:val="21"/>
              </w:rPr>
              <w:t>▲</w:t>
            </w:r>
            <w:r>
              <w:rPr>
                <w:rFonts w:hint="eastAsia" w:ascii="方正准圆简体" w:hAnsi="宋体" w:eastAsia="方正准圆简体"/>
                <w:b/>
                <w:bCs/>
                <w:szCs w:val="21"/>
                <w:lang w:eastAsia="zh-CN"/>
              </w:rPr>
              <w:t>具有最少三</w:t>
            </w:r>
            <w:r>
              <w:rPr>
                <w:rFonts w:hint="eastAsia" w:ascii="方正准圆简体" w:hAnsi="宋体" w:eastAsia="方正准圆简体"/>
                <w:b/>
                <w:bCs/>
                <w:szCs w:val="21"/>
              </w:rPr>
              <w:t>种麻醉药物（</w:t>
            </w:r>
            <w:r>
              <w:rPr>
                <w:rFonts w:hint="eastAsia" w:ascii="方正准圆简体" w:hAnsi="宋体" w:eastAsia="方正准圆简体"/>
                <w:b/>
                <w:bCs/>
                <w:szCs w:val="21"/>
                <w:lang w:eastAsia="zh-CN"/>
              </w:rPr>
              <w:t>丙泊酚</w:t>
            </w:r>
            <w:r>
              <w:rPr>
                <w:rFonts w:hint="eastAsia" w:ascii="方正准圆简体" w:hAnsi="宋体" w:eastAsia="方正准圆简体"/>
                <w:b/>
                <w:bCs/>
                <w:szCs w:val="21"/>
              </w:rPr>
              <w:t>、瑞芬太尼、舒芬太尼）的药代动力学模型，</w:t>
            </w:r>
            <w:r>
              <w:rPr>
                <w:rFonts w:hint="eastAsia" w:ascii="方正准圆简体" w:hAnsi="宋体" w:eastAsia="方正准圆简体"/>
                <w:b/>
                <w:bCs/>
                <w:szCs w:val="21"/>
                <w:lang w:val="en-US" w:eastAsia="zh-CN"/>
              </w:rPr>
              <w:t xml:space="preserve"> 丙泊酚</w:t>
            </w:r>
            <w:r>
              <w:rPr>
                <w:rFonts w:hint="eastAsia" w:ascii="方正准圆简体" w:hAnsi="宋体" w:eastAsia="方正准圆简体"/>
                <w:b/>
                <w:bCs/>
                <w:szCs w:val="21"/>
              </w:rPr>
              <w:t>具有儿童模型（年龄范围</w:t>
            </w:r>
            <w:r>
              <w:rPr>
                <w:rFonts w:hint="eastAsia" w:ascii="方正准圆简体" w:hAnsi="宋体" w:eastAsia="方正准圆简体"/>
                <w:b/>
                <w:bCs/>
                <w:szCs w:val="21"/>
                <w:lang w:val="en-US" w:eastAsia="zh-CN"/>
              </w:rPr>
              <w:t>1</w:t>
            </w:r>
            <w:r>
              <w:rPr>
                <w:rFonts w:hint="eastAsia" w:ascii="方正准圆简体" w:hAnsi="宋体" w:eastAsia="方正准圆简体"/>
                <w:b/>
                <w:bCs/>
                <w:szCs w:val="21"/>
              </w:rPr>
              <w:t>岁一1</w:t>
            </w:r>
            <w:r>
              <w:rPr>
                <w:rFonts w:hint="eastAsia" w:ascii="方正准圆简体" w:hAnsi="宋体" w:eastAsia="方正准圆简体"/>
                <w:b/>
                <w:bCs/>
                <w:szCs w:val="21"/>
                <w:lang w:val="en-US" w:eastAsia="zh-CN"/>
              </w:rPr>
              <w:t>8</w:t>
            </w:r>
            <w:r>
              <w:rPr>
                <w:rFonts w:hint="eastAsia" w:ascii="方正准圆简体" w:hAnsi="宋体" w:eastAsia="方正准圆简体"/>
                <w:b/>
                <w:bCs/>
                <w:szCs w:val="21"/>
              </w:rPr>
              <w:t>岁）</w:t>
            </w:r>
          </w:p>
          <w:p w14:paraId="5AEAF561">
            <w:pPr>
              <w:pStyle w:val="23"/>
              <w:numPr>
                <w:ilvl w:val="0"/>
                <w:numId w:val="4"/>
              </w:numPr>
              <w:spacing w:line="360" w:lineRule="auto"/>
              <w:ind w:firstLineChars="0"/>
              <w:rPr>
                <w:rFonts w:hint="eastAsia" w:ascii="方正准圆简体" w:hAnsi="宋体" w:eastAsia="方正准圆简体"/>
                <w:b/>
                <w:bCs/>
                <w:szCs w:val="21"/>
              </w:rPr>
            </w:pPr>
            <w:r>
              <w:rPr>
                <w:rFonts w:hint="eastAsia" w:ascii="方正准圆简体" w:hAnsi="宋体" w:eastAsia="方正准圆简体"/>
                <w:b/>
                <w:bCs/>
                <w:szCs w:val="21"/>
              </w:rPr>
              <w:t>▲</w:t>
            </w:r>
            <w:r>
              <w:rPr>
                <w:rFonts w:hint="eastAsia" w:ascii="方正准圆简体" w:hAnsi="宋体" w:eastAsia="方正准圆简体"/>
                <w:b/>
                <w:bCs/>
                <w:szCs w:val="21"/>
                <w:lang w:val="en-US" w:eastAsia="zh-CN"/>
              </w:rPr>
              <w:t>双通道注射泵间可实现</w:t>
            </w:r>
            <w:r>
              <w:rPr>
                <w:rFonts w:hint="eastAsia" w:ascii="方正准圆简体" w:hAnsi="宋体" w:eastAsia="方正准圆简体"/>
                <w:b/>
                <w:bCs/>
                <w:szCs w:val="21"/>
              </w:rPr>
              <w:t>病人</w:t>
            </w:r>
            <w:r>
              <w:rPr>
                <w:rFonts w:hint="eastAsia" w:ascii="方正准圆简体" w:hAnsi="宋体" w:eastAsia="方正准圆简体"/>
                <w:b/>
                <w:bCs/>
                <w:szCs w:val="21"/>
                <w:lang w:val="en-US" w:eastAsia="zh-CN"/>
              </w:rPr>
              <w:t>信息</w:t>
            </w:r>
            <w:r>
              <w:rPr>
                <w:rFonts w:hint="eastAsia" w:ascii="方正准圆简体" w:hAnsi="宋体" w:eastAsia="方正准圆简体"/>
                <w:b/>
                <w:bCs/>
                <w:szCs w:val="21"/>
              </w:rPr>
              <w:t>参数同步功能</w:t>
            </w:r>
          </w:p>
          <w:p w14:paraId="6DD423DF">
            <w:pPr>
              <w:pStyle w:val="23"/>
              <w:numPr>
                <w:ilvl w:val="0"/>
                <w:numId w:val="4"/>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序列模式：可设置10组序列，且序列模式中具有暂停功能</w:t>
            </w:r>
          </w:p>
          <w:p w14:paraId="358E0603">
            <w:pPr>
              <w:pStyle w:val="23"/>
              <w:numPr>
                <w:ilvl w:val="0"/>
                <w:numId w:val="4"/>
              </w:numPr>
              <w:spacing w:line="360" w:lineRule="auto"/>
              <w:ind w:firstLineChars="0"/>
              <w:rPr>
                <w:rFonts w:ascii="方正准圆简体" w:hAnsi="宋体" w:eastAsia="方正准圆简体"/>
                <w:b/>
                <w:bCs/>
                <w:szCs w:val="21"/>
              </w:rPr>
            </w:pPr>
            <w:r>
              <w:rPr>
                <w:rFonts w:hint="eastAsia" w:ascii="方正准圆简体" w:hAnsi="宋体" w:eastAsia="方正准圆简体"/>
                <w:b/>
                <w:bCs/>
                <w:szCs w:val="21"/>
              </w:rPr>
              <w:t>▲级联模式：两个通道同时开启，具有级联模式</w:t>
            </w:r>
          </w:p>
          <w:p w14:paraId="18269B5B">
            <w:pPr>
              <w:pStyle w:val="23"/>
              <w:numPr>
                <w:ilvl w:val="0"/>
                <w:numId w:val="4"/>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具有手动快进、快速定量快进、自动快进等三种快进方式可选</w:t>
            </w:r>
          </w:p>
          <w:p w14:paraId="27590D5C">
            <w:pPr>
              <w:pStyle w:val="23"/>
              <w:numPr>
                <w:ilvl w:val="0"/>
                <w:numId w:val="4"/>
              </w:numPr>
              <w:spacing w:line="360" w:lineRule="auto"/>
              <w:ind w:firstLineChars="0"/>
              <w:rPr>
                <w:rFonts w:hint="eastAsia" w:ascii="方正准圆简体" w:hAnsi="宋体" w:eastAsia="方正准圆简体"/>
                <w:b/>
                <w:bCs/>
                <w:sz w:val="21"/>
                <w:szCs w:val="21"/>
                <w:lang w:val="en-US" w:eastAsia="zh-CN"/>
              </w:rPr>
            </w:pPr>
            <w:r>
              <w:rPr>
                <w:rFonts w:hint="eastAsia" w:ascii="方正准圆简体" w:hAnsi="宋体" w:eastAsia="方正准圆简体"/>
                <w:b/>
                <w:bCs/>
                <w:sz w:val="21"/>
                <w:szCs w:val="21"/>
                <w:lang w:val="en-US" w:eastAsia="zh-CN"/>
              </w:rPr>
              <w:t>▲速率范围：0.1-2000ml/h（最小0.01 ml/h递增）</w:t>
            </w:r>
          </w:p>
          <w:p w14:paraId="4CEF552A">
            <w:pPr>
              <w:pStyle w:val="23"/>
              <w:numPr>
                <w:ilvl w:val="0"/>
                <w:numId w:val="4"/>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注射精度: ≤±2% ；机械精度≤±0.5%</w:t>
            </w:r>
          </w:p>
          <w:p w14:paraId="51C9FB6E">
            <w:pPr>
              <w:pStyle w:val="23"/>
              <w:numPr>
                <w:ilvl w:val="0"/>
                <w:numId w:val="4"/>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阻塞级别：150mmHg~975mmHg，12级可选择，动态显示管路的压力状态</w:t>
            </w:r>
          </w:p>
          <w:p w14:paraId="4DA01ECF">
            <w:pPr>
              <w:pStyle w:val="23"/>
              <w:numPr>
                <w:ilvl w:val="0"/>
                <w:numId w:val="4"/>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支持选配药物库,</w:t>
            </w:r>
            <w:r>
              <w:rPr>
                <w:rFonts w:hint="eastAsia" w:ascii="方正准圆简体" w:eastAsia="方正准圆简体"/>
              </w:rPr>
              <w:t xml:space="preserve"> </w:t>
            </w:r>
            <w:r>
              <w:rPr>
                <w:rFonts w:hint="eastAsia" w:ascii="方正准圆简体" w:hAnsi="宋体" w:eastAsia="方正准圆简体"/>
                <w:szCs w:val="21"/>
              </w:rPr>
              <w:t>可存储至少2000种药物</w:t>
            </w:r>
          </w:p>
          <w:p w14:paraId="235BB761">
            <w:pPr>
              <w:pStyle w:val="23"/>
              <w:numPr>
                <w:ilvl w:val="0"/>
                <w:numId w:val="4"/>
              </w:numPr>
              <w:spacing w:line="360" w:lineRule="auto"/>
              <w:ind w:firstLineChars="0"/>
              <w:rPr>
                <w:rFonts w:ascii="方正准圆简体" w:hAnsi="宋体" w:eastAsia="方正准圆简体"/>
                <w:szCs w:val="21"/>
              </w:rPr>
            </w:pPr>
            <w:r>
              <w:rPr>
                <w:rFonts w:hint="eastAsia" w:ascii="方正准圆简体" w:hAnsi="宋体" w:eastAsia="方正准圆简体"/>
                <w:szCs w:val="21"/>
              </w:rPr>
              <w:t>声音音量等级：可调10级报警音量</w:t>
            </w:r>
          </w:p>
          <w:p w14:paraId="145486A3">
            <w:pPr>
              <w:pStyle w:val="23"/>
              <w:numPr>
                <w:ilvl w:val="0"/>
                <w:numId w:val="4"/>
              </w:numPr>
              <w:spacing w:line="360" w:lineRule="auto"/>
              <w:ind w:firstLineChars="0"/>
              <w:rPr>
                <w:rFonts w:hint="eastAsia" w:ascii="方正准圆简体" w:hAnsi="宋体" w:eastAsia="方正准圆简体" w:cs="宋体"/>
                <w:sz w:val="21"/>
                <w:szCs w:val="21"/>
                <w:lang w:val="en-US" w:eastAsia="zh-CN"/>
              </w:rPr>
            </w:pPr>
            <w:r>
              <w:rPr>
                <w:rFonts w:hint="eastAsia" w:ascii="方正准圆简体" w:hAnsi="宋体" w:eastAsia="方正准圆简体"/>
                <w:szCs w:val="21"/>
              </w:rPr>
              <w:t>夜间模式：可自动降低亮度和报警音量，时间段可调</w:t>
            </w:r>
          </w:p>
          <w:p w14:paraId="7A34203B">
            <w:pPr>
              <w:pStyle w:val="23"/>
              <w:numPr>
                <w:ilvl w:val="0"/>
                <w:numId w:val="4"/>
              </w:numPr>
              <w:spacing w:line="360" w:lineRule="auto"/>
              <w:ind w:firstLineChars="0"/>
              <w:rPr>
                <w:rFonts w:hint="eastAsia" w:ascii="方正准圆简体" w:hAnsi="宋体" w:eastAsia="方正准圆简体" w:cs="宋体"/>
                <w:sz w:val="21"/>
                <w:szCs w:val="21"/>
                <w:lang w:val="en-US" w:eastAsia="zh-CN"/>
              </w:rPr>
            </w:pPr>
            <w:r>
              <w:rPr>
                <w:rFonts w:hint="eastAsia" w:ascii="方正准圆简体" w:hAnsi="宋体" w:eastAsia="方正准圆简体" w:cs="宋体"/>
                <w:sz w:val="21"/>
                <w:szCs w:val="21"/>
                <w:lang w:val="en-US" w:eastAsia="zh-CN"/>
              </w:rPr>
              <w:t>具有持续质量改进功能，并新建形成报告，用于统计输注报警事件、药物液量、输注模式等进行统计对比</w:t>
            </w:r>
          </w:p>
          <w:p w14:paraId="23795AB1">
            <w:pPr>
              <w:pStyle w:val="23"/>
              <w:numPr>
                <w:ilvl w:val="0"/>
                <w:numId w:val="4"/>
              </w:numPr>
              <w:spacing w:line="360" w:lineRule="auto"/>
              <w:ind w:firstLineChars="0"/>
              <w:rPr>
                <w:rFonts w:hint="eastAsia" w:eastAsia="宋体"/>
                <w:lang w:eastAsia="zh-CN"/>
              </w:rPr>
            </w:pPr>
            <w:r>
              <w:rPr>
                <w:rFonts w:hint="eastAsia" w:ascii="方正准圆简体" w:hAnsi="宋体" w:eastAsia="方正准圆简体"/>
                <w:szCs w:val="21"/>
                <w:lang w:val="en-US" w:eastAsia="zh-CN"/>
              </w:rPr>
              <w:t>防护等级</w:t>
            </w:r>
            <w:r>
              <w:rPr>
                <w:rFonts w:hint="eastAsia" w:ascii="方正准圆简体" w:hAnsi="宋体" w:eastAsia="方正准圆简体"/>
                <w:szCs w:val="21"/>
              </w:rPr>
              <w:t>IP34</w:t>
            </w:r>
          </w:p>
          <w:p w14:paraId="1AF5EC10">
            <w:pPr>
              <w:pStyle w:val="23"/>
              <w:numPr>
                <w:ilvl w:val="0"/>
                <w:numId w:val="4"/>
              </w:numPr>
              <w:spacing w:line="360" w:lineRule="auto"/>
              <w:ind w:firstLineChars="0"/>
              <w:rPr>
                <w:rFonts w:hint="eastAsia" w:eastAsia="宋体"/>
                <w:lang w:eastAsia="zh-CN"/>
              </w:rPr>
            </w:pPr>
            <w:r>
              <w:rPr>
                <w:rFonts w:hint="eastAsia" w:ascii="方正准圆简体" w:hAnsi="宋体" w:eastAsia="方正准圆简体" w:cs="宋体"/>
                <w:szCs w:val="21"/>
              </w:rPr>
              <w:t>内置锂电池，以5ml/h速度注射，可</w:t>
            </w:r>
            <w:r>
              <w:rPr>
                <w:rFonts w:hint="eastAsia" w:ascii="方正准圆简体" w:hAnsi="宋体" w:eastAsia="方正准圆简体"/>
                <w:szCs w:val="21"/>
                <w:lang w:val="en-US" w:eastAsia="zh-CN"/>
              </w:rPr>
              <w:t>实现工作时间最长不少于10h</w:t>
            </w:r>
          </w:p>
          <w:p w14:paraId="56B5835E">
            <w:pPr>
              <w:pStyle w:val="23"/>
              <w:numPr>
                <w:ilvl w:val="0"/>
                <w:numId w:val="4"/>
              </w:numPr>
              <w:spacing w:line="360" w:lineRule="auto"/>
              <w:ind w:firstLineChars="0"/>
              <w:rPr>
                <w:rStyle w:val="20"/>
                <w:rFonts w:ascii="宋体" w:hAnsi="宋体"/>
                <w:b/>
                <w:bCs/>
                <w:szCs w:val="21"/>
              </w:rPr>
            </w:pPr>
            <w:r>
              <w:rPr>
                <w:rFonts w:hint="eastAsia" w:ascii="方正准圆简体" w:hAnsi="宋体" w:eastAsia="方正准圆简体"/>
                <w:b/>
                <w:bCs/>
                <w:szCs w:val="21"/>
              </w:rPr>
              <w:t>▲</w:t>
            </w:r>
            <w:r>
              <w:rPr>
                <w:rFonts w:hint="eastAsia" w:ascii="方正准圆简体" w:hAnsi="宋体" w:eastAsia="方正准圆简体"/>
                <w:b/>
                <w:bCs/>
                <w:sz w:val="21"/>
                <w:szCs w:val="21"/>
                <w:lang w:val="en-US" w:eastAsia="zh-CN"/>
              </w:rPr>
              <w:t>界面风格可设置多种主题颜色，以便通过颜色快速识别输注药物</w:t>
            </w:r>
          </w:p>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扣2分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208849022"/>
      <w:bookmarkStart w:id="67" w:name="_Toc217446105"/>
      <w:bookmarkStart w:id="68" w:name="_Toc183682432"/>
      <w:bookmarkStart w:id="69" w:name="_Toc183582297"/>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4"/>
        <w:rPr>
          <w:rFonts w:hint="eastAsia"/>
          <w:highlight w:val="none"/>
        </w:rPr>
      </w:pPr>
    </w:p>
    <w:p w14:paraId="4D3E8E71">
      <w:pPr>
        <w:rPr>
          <w:rFonts w:hint="eastAsia"/>
          <w:highlight w:val="none"/>
        </w:rPr>
      </w:pPr>
    </w:p>
    <w:p w14:paraId="57D7653F">
      <w:pPr>
        <w:pStyle w:val="4"/>
        <w:rPr>
          <w:rFonts w:hint="eastAsia"/>
          <w:highlight w:val="none"/>
        </w:rPr>
      </w:pPr>
    </w:p>
    <w:p w14:paraId="26C6170D">
      <w:pPr>
        <w:rPr>
          <w:rFonts w:hint="eastAsia"/>
          <w:highlight w:val="none"/>
        </w:rPr>
      </w:pPr>
    </w:p>
    <w:bookmarkEnd w:id="25"/>
    <w:bookmarkEnd w:id="26"/>
    <w:bookmarkEnd w:id="27"/>
    <w:bookmarkEnd w:id="28"/>
    <w:p w14:paraId="461AED51">
      <w:pPr>
        <w:pStyle w:val="5"/>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方正准圆简体">
    <w:altName w:val="宋体"/>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8"/>
      <w:jc w:val="center"/>
      <w:rPr>
        <w:rFonts w:ascii="宋体" w:hAnsi="宋体" w:cs="Andalus"/>
        <w:sz w:val="24"/>
      </w:rPr>
    </w:pPr>
    <w:r>
      <w:rPr>
        <w:rFonts w:ascii="宋体" w:hAnsi="宋体" w:cs="Andalus"/>
        <w:sz w:val="24"/>
      </w:rPr>
      <w:fldChar w:fldCharType="begin"/>
    </w:r>
    <w:r>
      <w:rPr>
        <w:rStyle w:val="16"/>
        <w:rFonts w:ascii="宋体" w:hAnsi="宋体" w:cs="Andalus"/>
        <w:sz w:val="24"/>
      </w:rPr>
      <w:instrText xml:space="preserve"> PAGE </w:instrText>
    </w:r>
    <w:r>
      <w:rPr>
        <w:rFonts w:ascii="宋体" w:hAnsi="宋体" w:cs="Andalus"/>
        <w:sz w:val="24"/>
      </w:rPr>
      <w:fldChar w:fldCharType="separate"/>
    </w:r>
    <w:r>
      <w:rPr>
        <w:rStyle w:val="16"/>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13799E04"/>
    <w:multiLevelType w:val="multilevel"/>
    <w:tmpl w:val="13799E04"/>
    <w:lvl w:ilvl="0" w:tentative="0">
      <w:start w:val="1"/>
      <w:numFmt w:val="decimal"/>
      <w:lvlText w:val="%1."/>
      <w:lvlJc w:val="left"/>
      <w:pPr>
        <w:ind w:left="420" w:hanging="42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2">
    <w:nsid w:val="3ADE1FC4"/>
    <w:multiLevelType w:val="multilevel"/>
    <w:tmpl w:val="3ADE1FC4"/>
    <w:lvl w:ilvl="0" w:tentative="0">
      <w:start w:val="1"/>
      <w:numFmt w:val="decimal"/>
      <w:lvlText w:val="%1."/>
      <w:lvlJc w:val="left"/>
      <w:pPr>
        <w:ind w:left="420" w:hanging="42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3">
    <w:nsid w:val="58C8F0CA"/>
    <w:multiLevelType w:val="singleLevel"/>
    <w:tmpl w:val="58C8F0CA"/>
    <w:lvl w:ilvl="0" w:tentative="0">
      <w:start w:val="1"/>
      <w:numFmt w:val="chineseCounting"/>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4F06AD"/>
    <w:rsid w:val="0E190728"/>
    <w:rsid w:val="0FD145FB"/>
    <w:rsid w:val="11701B47"/>
    <w:rsid w:val="16731DD4"/>
    <w:rsid w:val="1A1A2980"/>
    <w:rsid w:val="21E13A8B"/>
    <w:rsid w:val="2B566C7A"/>
    <w:rsid w:val="2DC33E16"/>
    <w:rsid w:val="34727824"/>
    <w:rsid w:val="3DBE3646"/>
    <w:rsid w:val="3DC67F90"/>
    <w:rsid w:val="44253CF9"/>
    <w:rsid w:val="46CE13E7"/>
    <w:rsid w:val="46F5448E"/>
    <w:rsid w:val="48876513"/>
    <w:rsid w:val="59055A08"/>
    <w:rsid w:val="59FA62BF"/>
    <w:rsid w:val="62E418BB"/>
    <w:rsid w:val="652F2B95"/>
    <w:rsid w:val="65B75994"/>
    <w:rsid w:val="68C55CEA"/>
    <w:rsid w:val="74E05E61"/>
    <w:rsid w:val="77D365D4"/>
    <w:rsid w:val="7C68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Droid Sans"/>
      <w:sz w:val="20"/>
      <w:szCs w:val="20"/>
    </w:rPr>
  </w:style>
  <w:style w:type="paragraph" w:styleId="5">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qFormat/>
    <w:uiPriority w:val="39"/>
    <w:pPr>
      <w:spacing w:before="120" w:after="120"/>
      <w:jc w:val="left"/>
    </w:pPr>
    <w:rPr>
      <w:b/>
      <w:bCs/>
      <w:caps/>
      <w:sz w:val="20"/>
      <w:szCs w:val="20"/>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99"/>
    <w:pPr>
      <w:spacing w:after="120"/>
      <w:ind w:left="420" w:leftChars="200" w:firstLine="420" w:firstLineChars="200"/>
    </w:pPr>
    <w:rPr>
      <w:sz w:val="21"/>
      <w:szCs w:val="24"/>
    </w:rPr>
  </w:style>
  <w:style w:type="character" w:styleId="15">
    <w:name w:val="Strong"/>
    <w:basedOn w:val="14"/>
    <w:qFormat/>
    <w:uiPriority w:val="22"/>
    <w:rPr>
      <w:b/>
    </w:rPr>
  </w:style>
  <w:style w:type="character" w:styleId="16">
    <w:name w:val="page number"/>
    <w:basedOn w:val="14"/>
    <w:qFormat/>
    <w:uiPriority w:val="0"/>
  </w:style>
  <w:style w:type="character" w:styleId="17">
    <w:name w:val="Hyperlink"/>
    <w:qFormat/>
    <w:uiPriority w:val="99"/>
    <w:rPr>
      <w:color w:val="337AB7"/>
      <w:u w:val="none"/>
    </w:rPr>
  </w:style>
  <w:style w:type="paragraph" w:customStyle="1" w:styleId="18">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19">
    <w:name w:val="目录"/>
    <w:basedOn w:val="1"/>
    <w:qFormat/>
    <w:uiPriority w:val="0"/>
    <w:pPr>
      <w:widowControl/>
      <w:jc w:val="center"/>
    </w:pPr>
    <w:rPr>
      <w:rFonts w:ascii="宋体"/>
      <w:b/>
      <w:kern w:val="0"/>
      <w:sz w:val="36"/>
      <w:szCs w:val="20"/>
    </w:rPr>
  </w:style>
  <w:style w:type="character" w:customStyle="1" w:styleId="20">
    <w:name w:val="NormalCharacter"/>
    <w:qFormat/>
    <w:uiPriority w:val="0"/>
    <w:rPr>
      <w:rFonts w:ascii="Calibri" w:hAnsi="Calibri" w:eastAsia="宋体"/>
      <w:kern w:val="2"/>
      <w:sz w:val="21"/>
      <w:szCs w:val="22"/>
      <w:lang w:val="en-US" w:eastAsia="zh-CN" w:bidi="ar-SA"/>
    </w:rPr>
  </w:style>
  <w:style w:type="paragraph" w:customStyle="1" w:styleId="21">
    <w:name w:val="UserStyle_4"/>
    <w:basedOn w:val="1"/>
    <w:qFormat/>
    <w:uiPriority w:val="0"/>
    <w:pPr>
      <w:ind w:firstLine="420" w:firstLineChars="200"/>
    </w:pPr>
  </w:style>
  <w:style w:type="character" w:customStyle="1" w:styleId="22">
    <w:name w:val="UserStyle_2"/>
    <w:qFormat/>
    <w:uiPriority w:val="0"/>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12951</Words>
  <Characters>13348</Characters>
  <Lines>0</Lines>
  <Paragraphs>0</Paragraphs>
  <TotalTime>2</TotalTime>
  <ScaleCrop>false</ScaleCrop>
  <LinksUpToDate>false</LinksUpToDate>
  <CharactersWithSpaces>14750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2025-10-20T01:00:12Z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7879D5FE4A4646B5B578C3A8CAA81458_13</vt:lpwstr>
  </property>
  <property fmtid="{D5CDD505-2E9C-101B-9397-08002B2CF9AE}" pid="4" name="KSOTemplateDocerSaveRecord">
    <vt:lpwstr>eyJoZGlkIjoiMzA4NjU5YTQ3MWEzOGI1ODJiNjIzNDYwMjE2NmY2MzAiLCJ1c2VySWQiOiI4ODI0MTY1ODIifQ==</vt:lpwstr>
  </property>
</Properties>
</file>