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攀枝花市第二人民医院</w:t>
      </w:r>
    </w:p>
    <w:p>
      <w:pPr>
        <w:spacing w:line="600" w:lineRule="exact"/>
        <w:jc w:val="center"/>
        <w:rPr>
          <w:rFonts w:hint="eastAsia" w:ascii="宋体" w:hAnsi="宋体" w:eastAsia="宋体"/>
          <w:b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政府采购情况</w:t>
      </w:r>
      <w:r>
        <w:rPr>
          <w:rFonts w:hint="eastAsia" w:ascii="方正小标宋简体" w:hAnsi="宋体" w:eastAsia="方正小标宋简体"/>
          <w:sz w:val="44"/>
          <w:szCs w:val="44"/>
        </w:rPr>
        <w:t>说明</w:t>
      </w:r>
    </w:p>
    <w:p>
      <w:pPr>
        <w:pStyle w:val="2"/>
        <w:adjustRightInd w:val="0"/>
        <w:spacing w:before="130" w:beforeLines="0" w:line="600" w:lineRule="exact"/>
        <w:ind w:firstLine="630" w:firstLineChars="210"/>
        <w:outlineLvl w:val="0"/>
        <w:rPr>
          <w:rFonts w:hint="eastAsia" w:ascii="楷体_GB2312" w:eastAsia="楷体_GB2312"/>
          <w:b/>
          <w:sz w:val="32"/>
        </w:rPr>
      </w:pPr>
      <w:r>
        <w:rPr>
          <w:rFonts w:hint="eastAsia" w:ascii="黑体" w:eastAsia="黑体"/>
        </w:rPr>
        <w:t>一、基本职能</w:t>
      </w:r>
    </w:p>
    <w:p>
      <w:pPr>
        <w:pStyle w:val="2"/>
        <w:adjustRightInd w:val="0"/>
        <w:spacing w:before="130" w:beforeLines="0" w:line="600" w:lineRule="exact"/>
        <w:ind w:firstLine="672" w:firstLineChars="210"/>
        <w:rPr>
          <w:rFonts w:hint="eastAsia" w:hAnsi="仿宋"/>
          <w:sz w:val="32"/>
        </w:rPr>
      </w:pPr>
      <w:r>
        <w:rPr>
          <w:rFonts w:hint="eastAsia"/>
          <w:sz w:val="32"/>
        </w:rPr>
        <w:t>市二医院为国家三级乙等综合性医院，是本市西区境内唯一一所由市政府举办的公立性医院和临床医疗、教学、科研重要基地</w:t>
      </w:r>
      <w:r>
        <w:rPr>
          <w:rFonts w:hint="eastAsia" w:hAnsi="仿宋"/>
          <w:sz w:val="32"/>
        </w:rPr>
        <w:t>，编制床位800张，实际开放床位700张，资产总计</w:t>
      </w:r>
      <w:r>
        <w:rPr>
          <w:rFonts w:hint="eastAsia" w:hAnsi="仿宋"/>
          <w:sz w:val="32"/>
          <w:lang w:val="en-US" w:eastAsia="zh-CN"/>
        </w:rPr>
        <w:t>30830</w:t>
      </w:r>
      <w:r>
        <w:rPr>
          <w:rFonts w:hint="eastAsia" w:hAnsi="仿宋"/>
          <w:sz w:val="32"/>
        </w:rPr>
        <w:t>万元，固定资产净值</w:t>
      </w:r>
      <w:r>
        <w:rPr>
          <w:rFonts w:hint="eastAsia" w:hAnsi="仿宋"/>
          <w:sz w:val="32"/>
          <w:lang w:val="en-US" w:eastAsia="zh-CN"/>
        </w:rPr>
        <w:t>20405</w:t>
      </w:r>
      <w:r>
        <w:rPr>
          <w:rFonts w:hint="eastAsia" w:hAnsi="仿宋"/>
          <w:sz w:val="32"/>
        </w:rPr>
        <w:t>万元，年末在职职工</w:t>
      </w:r>
      <w:r>
        <w:rPr>
          <w:rFonts w:hint="eastAsia" w:hAnsi="仿宋"/>
          <w:sz w:val="32"/>
          <w:lang w:val="en-US" w:eastAsia="zh-CN"/>
        </w:rPr>
        <w:t>601</w:t>
      </w:r>
      <w:r>
        <w:rPr>
          <w:rFonts w:hint="eastAsia" w:hAnsi="仿宋"/>
          <w:sz w:val="32"/>
        </w:rPr>
        <w:t>人（其中卫技人员504人）。</w:t>
      </w:r>
    </w:p>
    <w:p>
      <w:pPr>
        <w:pStyle w:val="2"/>
        <w:adjustRightInd w:val="0"/>
        <w:spacing w:before="130" w:beforeLines="0" w:line="600" w:lineRule="exact"/>
        <w:ind w:firstLine="630" w:firstLineChars="210"/>
        <w:outlineLvl w:val="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二、编制依据和原则</w:t>
      </w:r>
    </w:p>
    <w:p>
      <w:pPr>
        <w:pStyle w:val="2"/>
        <w:adjustRightInd w:val="0"/>
        <w:spacing w:before="130" w:beforeLines="0" w:line="600" w:lineRule="exact"/>
        <w:ind w:firstLine="672" w:firstLineChars="210"/>
        <w:rPr>
          <w:rFonts w:hint="eastAsia"/>
          <w:sz w:val="32"/>
        </w:rPr>
      </w:pPr>
      <w:r>
        <w:rPr>
          <w:rFonts w:hint="eastAsia"/>
          <w:sz w:val="32"/>
          <w:lang w:eastAsia="zh-CN"/>
        </w:rPr>
        <w:t>（一）</w:t>
      </w:r>
      <w:r>
        <w:rPr>
          <w:rFonts w:hint="eastAsia"/>
          <w:sz w:val="32"/>
        </w:rPr>
        <w:t>严格按照《四川省政府集中采购目录及标准（2020 年版）》《攀枝花市市级行政事业单位通</w:t>
      </w:r>
      <w:bookmarkStart w:id="0" w:name="_GoBack"/>
      <w:bookmarkEnd w:id="0"/>
      <w:r>
        <w:rPr>
          <w:rFonts w:hint="eastAsia"/>
          <w:sz w:val="32"/>
        </w:rPr>
        <w:t>用办公设备和办公家具配置限额标准》（攀财资管〔2018〕 33 号）和《政府采购促进中小企业发展管理办法》（财库〔2020〕46 号）等相关规定，结合</w:t>
      </w:r>
      <w:r>
        <w:rPr>
          <w:rFonts w:hint="eastAsia"/>
          <w:sz w:val="32"/>
          <w:lang w:eastAsia="zh-CN"/>
        </w:rPr>
        <w:t>我院</w:t>
      </w:r>
      <w:r>
        <w:rPr>
          <w:rFonts w:hint="eastAsia"/>
          <w:sz w:val="32"/>
          <w:lang w:val="en-US" w:eastAsia="zh-CN"/>
        </w:rPr>
        <w:t>2021年</w:t>
      </w:r>
      <w:r>
        <w:rPr>
          <w:rFonts w:hint="eastAsia"/>
          <w:sz w:val="32"/>
        </w:rPr>
        <w:t>部门预算和实际需求编制。</w:t>
      </w:r>
    </w:p>
    <w:p>
      <w:pPr>
        <w:pStyle w:val="2"/>
        <w:numPr>
          <w:numId w:val="0"/>
        </w:numPr>
        <w:adjustRightInd w:val="0"/>
        <w:spacing w:before="130" w:beforeLines="0" w:line="600" w:lineRule="exact"/>
        <w:ind w:firstLine="572" w:firstLineChars="200"/>
        <w:rPr>
          <w:rFonts w:hint="eastAsia" w:eastAsia="仿宋_GB2312"/>
          <w:spacing w:val="-7"/>
          <w:w w:val="95"/>
          <w:lang w:eastAsia="zh-CN"/>
        </w:rPr>
      </w:pPr>
      <w:r>
        <w:rPr>
          <w:rFonts w:hint="eastAsia"/>
          <w:spacing w:val="-7"/>
          <w:lang w:eastAsia="zh-CN"/>
        </w:rPr>
        <w:t>（二）</w:t>
      </w:r>
      <w:r>
        <w:rPr>
          <w:spacing w:val="-7"/>
        </w:rPr>
        <w:t xml:space="preserve">在遵循 </w:t>
      </w:r>
      <w:r>
        <w:rPr>
          <w:rFonts w:ascii="Times New Roman" w:eastAsia="Times New Roman"/>
        </w:rPr>
        <w:t>2021</w:t>
      </w:r>
      <w:r>
        <w:rPr>
          <w:rFonts w:ascii="Times New Roman" w:eastAsia="Times New Roman"/>
          <w:spacing w:val="15"/>
        </w:rPr>
        <w:t xml:space="preserve"> </w:t>
      </w:r>
      <w:r>
        <w:t>年部门预算编制原则的前</w:t>
      </w:r>
      <w:r>
        <w:rPr>
          <w:spacing w:val="-6"/>
        </w:rPr>
        <w:t>提下，按照《党政机关厉行节约反对浪费条例》的有关规定</w:t>
      </w:r>
      <w:r>
        <w:rPr>
          <w:rFonts w:ascii="Times New Roman" w:eastAsia="Times New Roman"/>
          <w:spacing w:val="34"/>
        </w:rPr>
        <w:t xml:space="preserve">, </w:t>
      </w:r>
      <w:r>
        <w:t>严</w:t>
      </w:r>
      <w:r>
        <w:rPr>
          <w:spacing w:val="-7"/>
          <w:w w:val="95"/>
        </w:rPr>
        <w:t>格执行经费预算和资产配置标准，合理确定采购需求</w:t>
      </w:r>
      <w:r>
        <w:rPr>
          <w:rFonts w:hint="eastAsia"/>
          <w:spacing w:val="-13"/>
          <w:lang w:eastAsia="zh-CN"/>
        </w:rPr>
        <w:t>。</w:t>
      </w:r>
    </w:p>
    <w:p>
      <w:pPr>
        <w:pStyle w:val="2"/>
        <w:numPr>
          <w:numId w:val="0"/>
        </w:numPr>
        <w:adjustRightInd w:val="0"/>
        <w:spacing w:before="130" w:beforeLines="0" w:line="600" w:lineRule="exact"/>
        <w:ind w:firstLine="542" w:firstLineChars="200"/>
        <w:rPr>
          <w:rFonts w:hint="eastAsia" w:eastAsia="仿宋_GB2312"/>
          <w:spacing w:val="-7"/>
          <w:w w:val="95"/>
          <w:lang w:eastAsia="zh-CN"/>
        </w:rPr>
      </w:pPr>
      <w:r>
        <w:rPr>
          <w:rFonts w:hint="eastAsia"/>
          <w:spacing w:val="-7"/>
          <w:w w:val="95"/>
          <w:lang w:eastAsia="zh-CN"/>
        </w:rPr>
        <w:t>（三）</w:t>
      </w:r>
      <w:r>
        <w:rPr>
          <w:spacing w:val="-13"/>
          <w:w w:val="95"/>
        </w:rPr>
        <w:t>严格按照《政府采购促进中小企业发展管理办法</w:t>
      </w:r>
      <w:r>
        <w:rPr>
          <w:spacing w:val="-308"/>
          <w:w w:val="95"/>
        </w:rPr>
        <w:t>》</w:t>
      </w:r>
      <w:r>
        <w:rPr>
          <w:w w:val="95"/>
        </w:rPr>
        <w:t>（</w:t>
      </w:r>
      <w:r>
        <w:rPr>
          <w:spacing w:val="-48"/>
          <w:w w:val="95"/>
        </w:rPr>
        <w:t>财库〔</w:t>
      </w:r>
      <w:r>
        <w:rPr>
          <w:rFonts w:ascii="Times New Roman" w:eastAsia="Times New Roman"/>
          <w:w w:val="95"/>
        </w:rPr>
        <w:t>2020</w:t>
      </w:r>
      <w:r>
        <w:rPr>
          <w:w w:val="95"/>
        </w:rPr>
        <w:t xml:space="preserve">〕  </w:t>
      </w:r>
      <w:r>
        <w:rPr>
          <w:rFonts w:ascii="Times New Roman" w:eastAsia="Times New Roman"/>
        </w:rPr>
        <w:t>46</w:t>
      </w:r>
      <w:r>
        <w:rPr>
          <w:rFonts w:ascii="Times New Roman" w:eastAsia="Times New Roman"/>
          <w:spacing w:val="-4"/>
        </w:rPr>
        <w:t xml:space="preserve"> </w:t>
      </w:r>
      <w:r>
        <w:t>号</w:t>
      </w:r>
      <w:r>
        <w:rPr>
          <w:spacing w:val="-65"/>
        </w:rPr>
        <w:t>）</w:t>
      </w:r>
      <w:r>
        <w:rPr>
          <w:spacing w:val="-13"/>
        </w:rPr>
        <w:t>要求，预留份额专门面向中小企业采购，并将预留方式、预留比例和预留金额在政府采购预算表中予以填报列示</w:t>
      </w:r>
      <w:r>
        <w:rPr>
          <w:rFonts w:hint="eastAsia"/>
          <w:spacing w:val="-13"/>
          <w:lang w:eastAsia="zh-CN"/>
        </w:rPr>
        <w:t>。</w:t>
      </w:r>
    </w:p>
    <w:p>
      <w:pPr>
        <w:pStyle w:val="2"/>
        <w:adjustRightInd w:val="0"/>
        <w:spacing w:before="130" w:beforeLines="0" w:line="600" w:lineRule="exact"/>
        <w:ind w:firstLine="630" w:firstLineChars="210"/>
        <w:outlineLvl w:val="0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三、编制范围</w:t>
      </w:r>
    </w:p>
    <w:p>
      <w:pPr>
        <w:pStyle w:val="2"/>
        <w:adjustRightInd w:val="0"/>
        <w:spacing w:before="130" w:beforeLines="0" w:line="600" w:lineRule="exact"/>
        <w:ind w:firstLine="672" w:firstLineChars="210"/>
        <w:rPr>
          <w:rFonts w:hint="eastAsia"/>
          <w:sz w:val="32"/>
        </w:rPr>
      </w:pPr>
      <w:r>
        <w:rPr>
          <w:rFonts w:hint="eastAsia"/>
          <w:sz w:val="32"/>
          <w:lang w:val="en-US" w:eastAsia="zh-CN"/>
        </w:rPr>
        <w:t>（一）</w:t>
      </w:r>
      <w:r>
        <w:rPr>
          <w:rFonts w:hint="eastAsia"/>
          <w:sz w:val="32"/>
        </w:rPr>
        <w:t>政府采购目录中未规定限额标准的通用性项目，不论数量大小、金额大小，都要纳入政府采购预算编制范围。　　</w:t>
      </w:r>
    </w:p>
    <w:p>
      <w:pPr>
        <w:pStyle w:val="2"/>
        <w:adjustRightInd w:val="0"/>
        <w:spacing w:before="130" w:beforeLines="0" w:line="600" w:lineRule="exact"/>
        <w:ind w:firstLine="672" w:firstLineChars="210"/>
        <w:rPr>
          <w:rFonts w:hint="eastAsia"/>
          <w:sz w:val="32"/>
        </w:rPr>
      </w:pPr>
      <w:r>
        <w:rPr>
          <w:rFonts w:hint="eastAsia"/>
          <w:sz w:val="32"/>
        </w:rPr>
        <w:t>（二）政府采购目录以外的但在采购限额标准以上的采购项目，按照《政府采购法》规定，纳入政府采购预算编制范围。</w:t>
      </w:r>
    </w:p>
    <w:p>
      <w:pPr>
        <w:pStyle w:val="2"/>
        <w:adjustRightInd w:val="0"/>
        <w:spacing w:before="130" w:beforeLines="0" w:line="600" w:lineRule="exact"/>
        <w:ind w:firstLine="672" w:firstLineChars="210"/>
        <w:rPr>
          <w:rFonts w:hint="eastAsia"/>
          <w:sz w:val="32"/>
        </w:rPr>
      </w:pPr>
      <w:r>
        <w:rPr>
          <w:rFonts w:hint="eastAsia"/>
          <w:sz w:val="32"/>
        </w:rPr>
        <w:t>（三）凡是没有纳入政府采购目录，又达不到采购限额标准的采购项目，不属于《政府采购法》调整范围，不编制政府采购预算。　</w:t>
      </w:r>
    </w:p>
    <w:p>
      <w:pPr>
        <w:pStyle w:val="2"/>
        <w:numPr>
          <w:numId w:val="0"/>
        </w:numPr>
        <w:spacing w:before="65" w:line="350" w:lineRule="auto"/>
        <w:ind w:leftChars="200" w:right="265" w:rightChars="0"/>
        <w:jc w:val="both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四、政府采购预算金额</w:t>
      </w:r>
    </w:p>
    <w:p>
      <w:pPr>
        <w:pStyle w:val="2"/>
        <w:numPr>
          <w:numId w:val="0"/>
        </w:numPr>
        <w:spacing w:before="65" w:line="350" w:lineRule="auto"/>
        <w:ind w:right="265" w:rightChars="0" w:firstLine="60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2021年政府采购预算金额为3406.85万元，其中智慧医院建设信息系统等2036万元，专用设备1280万元，一般设备20.85万元，车辆70万元。</w:t>
      </w:r>
    </w:p>
    <w:p>
      <w:pPr>
        <w:pStyle w:val="2"/>
        <w:numPr>
          <w:numId w:val="0"/>
        </w:numPr>
        <w:spacing w:before="65" w:line="350" w:lineRule="auto"/>
        <w:ind w:right="265" w:rightChars="0" w:firstLine="4800" w:firstLineChars="16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2021年5月15日</w:t>
      </w:r>
    </w:p>
    <w:p>
      <w:pPr>
        <w:pStyle w:val="2"/>
        <w:adjustRightInd w:val="0"/>
        <w:spacing w:before="130" w:beforeLines="0" w:line="600" w:lineRule="exact"/>
        <w:ind w:firstLine="672" w:firstLineChars="210"/>
        <w:rPr>
          <w:rFonts w:hint="eastAsia" w:hAnsi="仿宋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auto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17F11"/>
    <w:rsid w:val="77C17F11"/>
    <w:rsid w:val="77C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93" w:beforeLines="30"/>
    </w:pPr>
    <w:rPr>
      <w:rFonts w:ascii="仿宋_GB2312" w:eastAsia="仿宋_GB2312"/>
      <w:sz w:val="3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2022-06-28T07:54:00Z</dcterms:created>
  <dc:creator>彧溢</dc:creator>
  <cp:lastModifiedBy>彧溢</cp:lastModifiedBy>
  <dcterms:modified xsi:type="dcterms:W3CDTF">2022-06-28T09:06:29Z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